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036960" w14:textId="77777777" w:rsidR="00F42767" w:rsidRPr="00F42767" w:rsidRDefault="00BF0FF8" w:rsidP="00BF0FF8">
      <w:pPr>
        <w:tabs>
          <w:tab w:val="right" w:pos="9360"/>
        </w:tabs>
        <w:spacing w:after="0" w:line="240" w:lineRule="auto"/>
        <w:rPr>
          <w:rFonts w:asciiTheme="majorHAnsi" w:hAnsiTheme="majorHAnsi"/>
          <w:b/>
          <w:sz w:val="28"/>
          <w:szCs w:val="28"/>
        </w:rPr>
      </w:pPr>
      <w:r>
        <w:rPr>
          <w:rFonts w:asciiTheme="majorHAnsi" w:hAnsiTheme="majorHAnsi"/>
          <w:sz w:val="28"/>
          <w:szCs w:val="28"/>
        </w:rPr>
        <w:tab/>
      </w:r>
      <w:r w:rsidRPr="00F42767">
        <w:rPr>
          <w:rFonts w:asciiTheme="majorHAnsi" w:hAnsiTheme="majorHAnsi"/>
          <w:sz w:val="28"/>
          <w:szCs w:val="28"/>
        </w:rPr>
        <w:t>Lesson:</w:t>
      </w:r>
      <w:r w:rsidRPr="00F42767">
        <w:rPr>
          <w:rFonts w:asciiTheme="majorHAnsi" w:hAnsiTheme="majorHAnsi"/>
          <w:b/>
          <w:sz w:val="28"/>
          <w:szCs w:val="28"/>
        </w:rPr>
        <w:t xml:space="preserve"> Dark Day at Second Narrows</w:t>
      </w:r>
    </w:p>
    <w:p w14:paraId="59EE6981" w14:textId="77777777" w:rsidR="00F42767" w:rsidRPr="00F42767" w:rsidRDefault="00F42767" w:rsidP="00BF0FF8">
      <w:pPr>
        <w:tabs>
          <w:tab w:val="right" w:pos="9360"/>
        </w:tabs>
        <w:spacing w:after="0" w:line="240" w:lineRule="auto"/>
        <w:rPr>
          <w:rFonts w:asciiTheme="majorHAnsi" w:hAnsiTheme="majorHAnsi"/>
          <w:b/>
          <w:sz w:val="20"/>
          <w:szCs w:val="20"/>
        </w:rPr>
      </w:pPr>
    </w:p>
    <w:p w14:paraId="2A526DC7" w14:textId="77777777" w:rsidR="00BF0FF8" w:rsidRPr="00F42767" w:rsidRDefault="00F42767" w:rsidP="00BF0FF8">
      <w:pPr>
        <w:tabs>
          <w:tab w:val="right" w:pos="9360"/>
        </w:tabs>
        <w:spacing w:after="0" w:line="240" w:lineRule="auto"/>
        <w:rPr>
          <w:rFonts w:asciiTheme="majorHAnsi" w:hAnsiTheme="majorHAnsi"/>
          <w:sz w:val="28"/>
          <w:szCs w:val="28"/>
        </w:rPr>
      </w:pPr>
      <w:r w:rsidRPr="00273C49">
        <w:rPr>
          <w:rFonts w:asciiTheme="majorHAnsi" w:hAnsiTheme="majorHAnsi"/>
          <w:b/>
          <w:bCs/>
          <w:sz w:val="28"/>
          <w:szCs w:val="28"/>
        </w:rPr>
        <w:t>Lesson Activity</w:t>
      </w:r>
      <w:r w:rsidR="005E4626" w:rsidRPr="00273C49">
        <w:rPr>
          <w:rFonts w:asciiTheme="majorHAnsi" w:hAnsiTheme="majorHAnsi"/>
          <w:b/>
          <w:bCs/>
          <w:sz w:val="28"/>
          <w:szCs w:val="28"/>
        </w:rPr>
        <w:t xml:space="preserve"> 1</w:t>
      </w:r>
      <w:r w:rsidR="005E4626" w:rsidRPr="00F42767">
        <w:rPr>
          <w:rFonts w:asciiTheme="majorHAnsi" w:hAnsiTheme="majorHAnsi"/>
          <w:sz w:val="28"/>
          <w:szCs w:val="28"/>
        </w:rPr>
        <w:t>: Outline for class discussion</w:t>
      </w:r>
      <w:r w:rsidR="00BF0FF8" w:rsidRPr="00F42767">
        <w:rPr>
          <w:rFonts w:asciiTheme="majorHAnsi" w:hAnsiTheme="majorHAnsi"/>
          <w:sz w:val="28"/>
          <w:szCs w:val="28"/>
        </w:rPr>
        <w:t xml:space="preserve"> </w:t>
      </w:r>
    </w:p>
    <w:p w14:paraId="374A450F" w14:textId="77777777" w:rsidR="005E4626" w:rsidRPr="002B6A98" w:rsidRDefault="005E4626" w:rsidP="002B6A98">
      <w:pPr>
        <w:tabs>
          <w:tab w:val="right" w:pos="9360"/>
        </w:tabs>
        <w:spacing w:before="120" w:after="0" w:line="240" w:lineRule="auto"/>
        <w:rPr>
          <w:rFonts w:asciiTheme="majorHAnsi" w:hAnsiTheme="majorHAnsi"/>
          <w:b/>
          <w:sz w:val="20"/>
          <w:szCs w:val="20"/>
        </w:rPr>
      </w:pPr>
      <w:r w:rsidRPr="002B6A98">
        <w:rPr>
          <w:rFonts w:asciiTheme="majorHAnsi" w:hAnsiTheme="majorHAnsi"/>
          <w:b/>
          <w:sz w:val="20"/>
          <w:szCs w:val="20"/>
        </w:rPr>
        <w:t>Notes prepared by A. Cornes</w:t>
      </w:r>
    </w:p>
    <w:p w14:paraId="37481B27" w14:textId="77777777" w:rsidR="00BF0FF8" w:rsidRPr="00D87414" w:rsidRDefault="00BF0FF8" w:rsidP="00BF0FF8">
      <w:pPr>
        <w:spacing w:after="0" w:line="240" w:lineRule="auto"/>
        <w:rPr>
          <w:rFonts w:asciiTheme="majorHAnsi" w:hAnsiTheme="majorHAnsi"/>
          <w:b/>
        </w:rPr>
      </w:pPr>
    </w:p>
    <w:p w14:paraId="644684AD" w14:textId="77777777" w:rsidR="005E4626" w:rsidRPr="00BF0FF8" w:rsidRDefault="005E4626" w:rsidP="00F42767">
      <w:pPr>
        <w:spacing w:after="120" w:line="240" w:lineRule="auto"/>
        <w:rPr>
          <w:rFonts w:asciiTheme="majorHAnsi" w:hAnsiTheme="majorHAnsi" w:cs="Times New Roman"/>
          <w:i/>
          <w:sz w:val="24"/>
          <w:szCs w:val="24"/>
        </w:rPr>
      </w:pPr>
      <w:r w:rsidRPr="00D87414">
        <w:rPr>
          <w:rFonts w:asciiTheme="majorHAnsi" w:hAnsiTheme="majorHAnsi" w:cs="Times New Roman"/>
          <w:b/>
        </w:rPr>
        <w:t xml:space="preserve">ESSENTIAL QUESTION FOR CLASS DISCUSSION:  </w:t>
      </w:r>
      <w:r w:rsidRPr="00BF0FF8">
        <w:rPr>
          <w:rFonts w:asciiTheme="majorHAnsi" w:hAnsiTheme="majorHAnsi" w:cs="Times New Roman"/>
          <w:i/>
          <w:sz w:val="24"/>
          <w:szCs w:val="24"/>
        </w:rPr>
        <w:t xml:space="preserve">What was the cause of the collapse of Ironworkers Memorial Bridge? </w:t>
      </w:r>
    </w:p>
    <w:p w14:paraId="005CD511" w14:textId="1C0D99D3" w:rsidR="005E4626" w:rsidRPr="00D87414" w:rsidRDefault="005E4626" w:rsidP="004C29C6">
      <w:pPr>
        <w:spacing w:afterLines="40" w:after="96" w:line="240" w:lineRule="atLeast"/>
        <w:rPr>
          <w:rFonts w:asciiTheme="majorHAnsi" w:hAnsiTheme="majorHAnsi" w:cs="Times New Roman"/>
        </w:rPr>
      </w:pPr>
      <w:r w:rsidRPr="00D87414">
        <w:rPr>
          <w:rFonts w:asciiTheme="majorHAnsi" w:hAnsiTheme="majorHAnsi" w:cs="Times New Roman"/>
          <w:b/>
        </w:rPr>
        <w:t xml:space="preserve">Introduction:  </w:t>
      </w:r>
      <w:r w:rsidR="00AF46F3">
        <w:rPr>
          <w:rFonts w:asciiTheme="majorHAnsi" w:hAnsiTheme="majorHAnsi" w:cs="Times New Roman"/>
          <w:b/>
        </w:rPr>
        <w:t xml:space="preserve"> </w:t>
      </w:r>
      <w:r w:rsidR="00AF46F3" w:rsidRPr="00AF46F3">
        <w:rPr>
          <w:rFonts w:asciiTheme="majorHAnsi" w:hAnsiTheme="majorHAnsi" w:cs="Times New Roman"/>
          <w:bCs/>
        </w:rPr>
        <w:t>This</w:t>
      </w:r>
      <w:r w:rsidRPr="00D87414">
        <w:rPr>
          <w:rFonts w:asciiTheme="majorHAnsi" w:hAnsiTheme="majorHAnsi" w:cs="Times New Roman"/>
        </w:rPr>
        <w:t xml:space="preserve"> lesson is designed to be taught in conjunction </w:t>
      </w:r>
      <w:r w:rsidR="00AF46F3">
        <w:rPr>
          <w:rFonts w:asciiTheme="majorHAnsi" w:hAnsiTheme="majorHAnsi" w:cs="Times New Roman"/>
        </w:rPr>
        <w:t>Career Life Education 10, Career Life Connections, Work Experience,</w:t>
      </w:r>
      <w:r w:rsidR="009D2DAA">
        <w:rPr>
          <w:rFonts w:asciiTheme="majorHAnsi" w:hAnsiTheme="majorHAnsi" w:cs="Times New Roman"/>
        </w:rPr>
        <w:t xml:space="preserve"> Social Justice 12 and Law Studies 12.</w:t>
      </w:r>
      <w:r w:rsidR="009845D6">
        <w:rPr>
          <w:rFonts w:asciiTheme="majorHAnsi" w:hAnsiTheme="majorHAnsi" w:cs="Times New Roman"/>
        </w:rPr>
        <w:t xml:space="preserve"> </w:t>
      </w:r>
      <w:r w:rsidRPr="00D87414">
        <w:rPr>
          <w:rFonts w:asciiTheme="majorHAnsi" w:hAnsiTheme="majorHAnsi" w:cs="Times New Roman"/>
        </w:rPr>
        <w:t xml:space="preserve">The homework assignment and the class discussion touch directly on the content of </w:t>
      </w:r>
      <w:r w:rsidR="009400FE">
        <w:rPr>
          <w:rFonts w:asciiTheme="majorHAnsi" w:hAnsiTheme="majorHAnsi" w:cs="Times New Roman"/>
        </w:rPr>
        <w:t xml:space="preserve">Career Life Education </w:t>
      </w:r>
      <w:r w:rsidRPr="00D87414">
        <w:rPr>
          <w:rFonts w:asciiTheme="majorHAnsi" w:hAnsiTheme="majorHAnsi" w:cs="Times New Roman"/>
        </w:rPr>
        <w:t xml:space="preserve">10 with respect to health and safety inspections and the causes of injury to young workers. </w:t>
      </w:r>
    </w:p>
    <w:p w14:paraId="04669617" w14:textId="77777777" w:rsidR="005E4626" w:rsidRPr="00D87414" w:rsidRDefault="005E4626" w:rsidP="004C29C6">
      <w:pPr>
        <w:spacing w:afterLines="40" w:after="96" w:line="240" w:lineRule="atLeast"/>
        <w:rPr>
          <w:rFonts w:asciiTheme="majorHAnsi" w:hAnsiTheme="majorHAnsi" w:cs="Times New Roman"/>
        </w:rPr>
      </w:pPr>
      <w:r w:rsidRPr="00D87414">
        <w:rPr>
          <w:rFonts w:asciiTheme="majorHAnsi" w:hAnsiTheme="majorHAnsi" w:cs="Times New Roman"/>
        </w:rPr>
        <w:t xml:space="preserve">Through extended activities, discussion can also touch on </w:t>
      </w:r>
      <w:r w:rsidR="00BF0FF8">
        <w:rPr>
          <w:rFonts w:asciiTheme="majorHAnsi" w:hAnsiTheme="majorHAnsi" w:cs="Times New Roman"/>
        </w:rPr>
        <w:t xml:space="preserve">aspects of </w:t>
      </w:r>
      <w:r w:rsidRPr="00D87414">
        <w:rPr>
          <w:rFonts w:asciiTheme="majorHAnsi" w:hAnsiTheme="majorHAnsi" w:cs="Times New Roman"/>
        </w:rPr>
        <w:t>Law 12 with specific reference to criminal law (Westray amendments to the criminal code), civil law (negligence, liability, contract law, legal remedies).</w:t>
      </w:r>
    </w:p>
    <w:p w14:paraId="6E98AA93" w14:textId="17FF7086" w:rsidR="005E4626" w:rsidRPr="00D87414" w:rsidRDefault="005E4626" w:rsidP="004C29C6">
      <w:pPr>
        <w:spacing w:afterLines="40" w:after="96" w:line="240" w:lineRule="atLeast"/>
        <w:rPr>
          <w:rFonts w:asciiTheme="majorHAnsi" w:hAnsiTheme="majorHAnsi" w:cs="Times New Roman"/>
        </w:rPr>
      </w:pPr>
      <w:r w:rsidRPr="00D87414">
        <w:rPr>
          <w:rFonts w:asciiTheme="majorHAnsi" w:hAnsiTheme="majorHAnsi" w:cs="Times New Roman"/>
        </w:rPr>
        <w:t xml:space="preserve">Prior to showing the vignette, the teacher should ask the class whether they have ever crossed the </w:t>
      </w:r>
      <w:r w:rsidR="006E218D">
        <w:rPr>
          <w:rFonts w:asciiTheme="majorHAnsi" w:hAnsiTheme="majorHAnsi" w:cs="Times New Roman"/>
        </w:rPr>
        <w:t xml:space="preserve">Ironworkers Memorial Bridge at </w:t>
      </w:r>
      <w:r w:rsidRPr="00D87414">
        <w:rPr>
          <w:rFonts w:asciiTheme="majorHAnsi" w:hAnsiTheme="majorHAnsi" w:cs="Times New Roman"/>
        </w:rPr>
        <w:t xml:space="preserve">Second Narrows.  Locate it on a map or have them do so. </w:t>
      </w:r>
      <w:hyperlink r:id="rId7" w:history="1">
        <w:r w:rsidR="006E218D" w:rsidRPr="00273C49">
          <w:rPr>
            <w:rStyle w:val="Hyperlink"/>
            <w:rFonts w:asciiTheme="majorHAnsi" w:hAnsiTheme="majorHAnsi" w:cs="Times New Roman"/>
          </w:rPr>
          <w:t>Metro Vancouver Satellite Map</w:t>
        </w:r>
      </w:hyperlink>
    </w:p>
    <w:p w14:paraId="71D4B6C8" w14:textId="73E056EA" w:rsidR="002B6A98" w:rsidRPr="00432C60" w:rsidRDefault="005E4626" w:rsidP="004C29C6">
      <w:pPr>
        <w:spacing w:afterLines="40" w:after="96" w:line="240" w:lineRule="atLeast"/>
        <w:rPr>
          <w:rFonts w:asciiTheme="majorHAnsi" w:hAnsiTheme="majorHAnsi"/>
          <w:lang w:val="en-US"/>
        </w:rPr>
      </w:pPr>
      <w:r w:rsidRPr="00D87414">
        <w:rPr>
          <w:rFonts w:asciiTheme="majorHAnsi" w:hAnsiTheme="majorHAnsi" w:cs="Times New Roman"/>
        </w:rPr>
        <w:t xml:space="preserve">Then </w:t>
      </w:r>
      <w:r w:rsidR="00273C49">
        <w:rPr>
          <w:rFonts w:asciiTheme="majorHAnsi" w:hAnsiTheme="majorHAnsi" w:cs="Times New Roman"/>
        </w:rPr>
        <w:t>read</w:t>
      </w:r>
      <w:r w:rsidRPr="00D87414">
        <w:rPr>
          <w:rFonts w:asciiTheme="majorHAnsi" w:hAnsiTheme="majorHAnsi" w:cs="Times New Roman"/>
        </w:rPr>
        <w:t xml:space="preserve"> the first page of</w:t>
      </w:r>
      <w:r w:rsidR="00273C49">
        <w:rPr>
          <w:rFonts w:asciiTheme="majorHAnsi" w:hAnsiTheme="majorHAnsi" w:cs="Times New Roman"/>
        </w:rPr>
        <w:t xml:space="preserve"> the</w:t>
      </w:r>
      <w:r w:rsidRPr="00D87414">
        <w:rPr>
          <w:rFonts w:asciiTheme="majorHAnsi" w:hAnsiTheme="majorHAnsi" w:cs="Times New Roman"/>
        </w:rPr>
        <w:t xml:space="preserve"> introduction </w:t>
      </w:r>
      <w:r w:rsidR="00273C49">
        <w:rPr>
          <w:rFonts w:asciiTheme="majorHAnsi" w:hAnsiTheme="majorHAnsi" w:cs="Times New Roman"/>
        </w:rPr>
        <w:t>to</w:t>
      </w:r>
      <w:r w:rsidRPr="00D87414">
        <w:rPr>
          <w:rFonts w:asciiTheme="majorHAnsi" w:hAnsiTheme="majorHAnsi" w:cs="Times New Roman"/>
        </w:rPr>
        <w:t xml:space="preserve"> “The Tragedy </w:t>
      </w:r>
      <w:proofErr w:type="gramStart"/>
      <w:r w:rsidRPr="00D87414">
        <w:rPr>
          <w:rFonts w:asciiTheme="majorHAnsi" w:hAnsiTheme="majorHAnsi" w:cs="Times New Roman"/>
        </w:rPr>
        <w:t>In</w:t>
      </w:r>
      <w:proofErr w:type="gramEnd"/>
      <w:r w:rsidRPr="00D87414">
        <w:rPr>
          <w:rFonts w:asciiTheme="majorHAnsi" w:hAnsiTheme="majorHAnsi" w:cs="Times New Roman"/>
        </w:rPr>
        <w:t xml:space="preserve"> Brief: Then and Now”</w:t>
      </w:r>
      <w:r w:rsidR="006E218D">
        <w:rPr>
          <w:rFonts w:asciiTheme="majorHAnsi" w:hAnsiTheme="majorHAnsi" w:cs="Times New Roman"/>
        </w:rPr>
        <w:t xml:space="preserve"> </w:t>
      </w:r>
      <w:r w:rsidR="005650CE">
        <w:rPr>
          <w:rFonts w:asciiTheme="majorHAnsi" w:hAnsiTheme="majorHAnsi" w:cs="Times New Roman"/>
        </w:rPr>
        <w:t xml:space="preserve">(Appendix </w:t>
      </w:r>
      <w:r w:rsidR="003E116B">
        <w:rPr>
          <w:rFonts w:asciiTheme="majorHAnsi" w:hAnsiTheme="majorHAnsi" w:cs="Times New Roman"/>
        </w:rPr>
        <w:t>1</w:t>
      </w:r>
      <w:r w:rsidR="005650CE">
        <w:rPr>
          <w:rFonts w:asciiTheme="majorHAnsi" w:hAnsiTheme="majorHAnsi" w:cs="Times New Roman"/>
        </w:rPr>
        <w:t>)</w:t>
      </w:r>
      <w:r w:rsidRPr="00D87414">
        <w:rPr>
          <w:rFonts w:asciiTheme="majorHAnsi" w:hAnsiTheme="majorHAnsi" w:cs="Times New Roman"/>
        </w:rPr>
        <w:t xml:space="preserve"> up to and including the sentence that</w:t>
      </w:r>
      <w:r w:rsidR="00432C60">
        <w:rPr>
          <w:rFonts w:asciiTheme="majorHAnsi" w:hAnsiTheme="majorHAnsi" w:cs="Times New Roman"/>
        </w:rPr>
        <w:t xml:space="preserve"> reads: </w:t>
      </w:r>
      <w:r w:rsidR="00432C60" w:rsidRPr="00D87414">
        <w:rPr>
          <w:rFonts w:asciiTheme="majorHAnsi" w:hAnsiTheme="majorHAnsi" w:cs="Times New Roman"/>
        </w:rPr>
        <w:t>“</w:t>
      </w:r>
      <w:r w:rsidR="00432C60" w:rsidRPr="00432C60">
        <w:rPr>
          <w:rFonts w:asciiTheme="majorHAnsi" w:hAnsiTheme="majorHAnsi"/>
          <w:lang w:val="en-US"/>
        </w:rPr>
        <w:t xml:space="preserve">There we no major challenges that could not be handled in the first two years of construction. Things </w:t>
      </w:r>
      <w:r w:rsidR="00432C60">
        <w:rPr>
          <w:rFonts w:asciiTheme="majorHAnsi" w:hAnsiTheme="majorHAnsi"/>
          <w:lang w:val="en-US"/>
        </w:rPr>
        <w:t>ran smoothly until June 17,</w:t>
      </w:r>
      <w:r w:rsidR="00432C60" w:rsidRPr="00432C60">
        <w:rPr>
          <w:rFonts w:asciiTheme="majorHAnsi" w:hAnsiTheme="majorHAnsi"/>
          <w:lang w:val="en-US"/>
        </w:rPr>
        <w:t>1958.</w:t>
      </w:r>
      <w:r w:rsidRPr="00D87414">
        <w:rPr>
          <w:rFonts w:asciiTheme="majorHAnsi" w:hAnsiTheme="majorHAnsi"/>
        </w:rPr>
        <w:t>”.</w:t>
      </w:r>
    </w:p>
    <w:p w14:paraId="0875076D" w14:textId="77777777" w:rsidR="005E4626" w:rsidRPr="00D87414" w:rsidRDefault="005E4626" w:rsidP="004C29C6">
      <w:pPr>
        <w:spacing w:afterLines="40" w:after="96" w:line="240" w:lineRule="atLeast"/>
        <w:rPr>
          <w:rFonts w:asciiTheme="majorHAnsi" w:hAnsiTheme="majorHAnsi"/>
          <w:b/>
        </w:rPr>
      </w:pPr>
      <w:r>
        <w:rPr>
          <w:rFonts w:asciiTheme="majorHAnsi" w:hAnsiTheme="majorHAnsi"/>
          <w:b/>
        </w:rPr>
        <w:t>Start the video; Dark Day at the Second Narrows</w:t>
      </w:r>
    </w:p>
    <w:p w14:paraId="0CAAA250" w14:textId="77777777" w:rsidR="005E4626" w:rsidRPr="00D87414" w:rsidRDefault="005E4626" w:rsidP="004C29C6">
      <w:pPr>
        <w:spacing w:afterLines="40" w:after="96" w:line="240" w:lineRule="atLeast"/>
        <w:rPr>
          <w:rFonts w:asciiTheme="majorHAnsi" w:hAnsiTheme="majorHAnsi" w:cs="Times New Roman"/>
        </w:rPr>
      </w:pPr>
      <w:r w:rsidRPr="00D87414">
        <w:rPr>
          <w:rFonts w:asciiTheme="majorHAnsi" w:hAnsiTheme="majorHAnsi" w:cs="Times New Roman"/>
        </w:rPr>
        <w:t xml:space="preserve">Once the video is finished, the teacher should review with the students the section of the reference notes </w:t>
      </w:r>
      <w:r>
        <w:rPr>
          <w:rFonts w:asciiTheme="majorHAnsi" w:hAnsiTheme="majorHAnsi" w:cs="Times New Roman"/>
        </w:rPr>
        <w:t>(</w:t>
      </w:r>
      <w:r w:rsidRPr="005650CE">
        <w:rPr>
          <w:rFonts w:asciiTheme="majorHAnsi" w:hAnsiTheme="majorHAnsi" w:cs="Times New Roman"/>
        </w:rPr>
        <w:t xml:space="preserve">Appendix </w:t>
      </w:r>
      <w:r w:rsidR="003E116B">
        <w:rPr>
          <w:rFonts w:asciiTheme="majorHAnsi" w:hAnsiTheme="majorHAnsi" w:cs="Times New Roman"/>
        </w:rPr>
        <w:t>1</w:t>
      </w:r>
      <w:r>
        <w:rPr>
          <w:rFonts w:asciiTheme="majorHAnsi" w:hAnsiTheme="majorHAnsi" w:cs="Times New Roman"/>
        </w:rPr>
        <w:t xml:space="preserve">) </w:t>
      </w:r>
      <w:r w:rsidRPr="00D87414">
        <w:rPr>
          <w:rFonts w:asciiTheme="majorHAnsi" w:hAnsiTheme="majorHAnsi" w:cs="Times New Roman"/>
        </w:rPr>
        <w:t>dealing the Coroner’s Inquest, the findings of the Royal Commission, and Beyond the Commission of Inquiry.  Teachers can then solicit some class discussion with the following prompts: (answers have been provided to assist with the discussion but should not be viewed as definitive)</w:t>
      </w:r>
    </w:p>
    <w:p w14:paraId="09219602" w14:textId="77777777" w:rsidR="005E4626" w:rsidRPr="00D87414" w:rsidRDefault="005E4626" w:rsidP="005E4626">
      <w:pPr>
        <w:pStyle w:val="ListParagraph"/>
        <w:numPr>
          <w:ilvl w:val="0"/>
          <w:numId w:val="4"/>
        </w:numPr>
        <w:rPr>
          <w:rFonts w:asciiTheme="majorHAnsi" w:hAnsiTheme="majorHAnsi" w:cs="Times New Roman"/>
          <w:b/>
        </w:rPr>
      </w:pPr>
      <w:r w:rsidRPr="00D87414">
        <w:rPr>
          <w:rFonts w:asciiTheme="majorHAnsi" w:hAnsiTheme="majorHAnsi" w:cs="Times New Roman"/>
          <w:b/>
        </w:rPr>
        <w:t xml:space="preserve">Was the collapse of the Ironworkers Memorial Bridge (then the Second Narrows Bridge) preventable?   </w:t>
      </w:r>
    </w:p>
    <w:p w14:paraId="68846E04" w14:textId="77777777" w:rsidR="00BF0FF8" w:rsidRDefault="00BF0FF8" w:rsidP="005E4626">
      <w:pPr>
        <w:pStyle w:val="ListParagraph"/>
        <w:rPr>
          <w:rFonts w:asciiTheme="majorHAnsi" w:hAnsiTheme="majorHAnsi" w:cs="Times New Roman"/>
        </w:rPr>
      </w:pPr>
    </w:p>
    <w:p w14:paraId="3B7D7E7F" w14:textId="77777777" w:rsidR="005E4626" w:rsidRDefault="005E4626" w:rsidP="00475491">
      <w:pPr>
        <w:pStyle w:val="ListParagraph"/>
        <w:ind w:left="540"/>
        <w:rPr>
          <w:rFonts w:asciiTheme="majorHAnsi" w:hAnsiTheme="majorHAnsi" w:cs="Times New Roman"/>
        </w:rPr>
      </w:pPr>
      <w:r w:rsidRPr="00D87414">
        <w:rPr>
          <w:rFonts w:asciiTheme="majorHAnsi" w:hAnsiTheme="majorHAnsi" w:cs="Times New Roman"/>
        </w:rPr>
        <w:t xml:space="preserve">Answer:  </w:t>
      </w:r>
      <w:r w:rsidR="00BF0FF8">
        <w:rPr>
          <w:rFonts w:asciiTheme="majorHAnsi" w:hAnsiTheme="majorHAnsi" w:cs="Times New Roman"/>
        </w:rPr>
        <w:t>Co</w:t>
      </w:r>
      <w:r w:rsidR="00C142CE">
        <w:rPr>
          <w:rFonts w:asciiTheme="majorHAnsi" w:hAnsiTheme="majorHAnsi" w:cs="Times New Roman"/>
        </w:rPr>
        <w:t>nsideri</w:t>
      </w:r>
      <w:r w:rsidR="00BF0FF8">
        <w:rPr>
          <w:rFonts w:asciiTheme="majorHAnsi" w:hAnsiTheme="majorHAnsi" w:cs="Times New Roman"/>
        </w:rPr>
        <w:t>ng</w:t>
      </w:r>
      <w:r w:rsidRPr="00D87414">
        <w:rPr>
          <w:rFonts w:asciiTheme="majorHAnsi" w:hAnsiTheme="majorHAnsi" w:cs="Times New Roman"/>
        </w:rPr>
        <w:t xml:space="preserve"> the findings of the Inquiry Commission and the comments of Eric Jamieson, author of </w:t>
      </w:r>
      <w:r w:rsidRPr="00D87414">
        <w:rPr>
          <w:rFonts w:asciiTheme="majorHAnsi" w:hAnsiTheme="majorHAnsi" w:cs="Times New Roman"/>
          <w:i/>
        </w:rPr>
        <w:t xml:space="preserve">Tragedy at Second Narrows, </w:t>
      </w:r>
      <w:r w:rsidRPr="00D87414">
        <w:rPr>
          <w:rFonts w:asciiTheme="majorHAnsi" w:hAnsiTheme="majorHAnsi" w:cs="Times New Roman"/>
        </w:rPr>
        <w:t xml:space="preserve">the collapse was preventable </w:t>
      </w:r>
      <w:r w:rsidR="00C142CE">
        <w:rPr>
          <w:rFonts w:asciiTheme="majorHAnsi" w:hAnsiTheme="majorHAnsi" w:cs="Times New Roman"/>
        </w:rPr>
        <w:t>when the following four problems occurred</w:t>
      </w:r>
      <w:r w:rsidRPr="00D87414">
        <w:rPr>
          <w:rFonts w:asciiTheme="majorHAnsi" w:hAnsiTheme="majorHAnsi" w:cs="Times New Roman"/>
        </w:rPr>
        <w:t>:</w:t>
      </w:r>
    </w:p>
    <w:p w14:paraId="586AAF51" w14:textId="77777777" w:rsidR="00C142CE" w:rsidRPr="00D87414" w:rsidRDefault="00C142CE" w:rsidP="00475491">
      <w:pPr>
        <w:pStyle w:val="ListParagraph"/>
        <w:ind w:left="540"/>
        <w:rPr>
          <w:rFonts w:asciiTheme="majorHAnsi" w:hAnsiTheme="majorHAnsi" w:cs="Times New Roman"/>
        </w:rPr>
      </w:pPr>
    </w:p>
    <w:p w14:paraId="0FD4A6D2" w14:textId="77777777" w:rsidR="005650CE" w:rsidRPr="00F42767" w:rsidRDefault="005E4626" w:rsidP="00F42767">
      <w:pPr>
        <w:pStyle w:val="ListParagraph"/>
        <w:numPr>
          <w:ilvl w:val="1"/>
          <w:numId w:val="3"/>
        </w:numPr>
        <w:tabs>
          <w:tab w:val="clear" w:pos="1440"/>
        </w:tabs>
        <w:ind w:left="540"/>
        <w:rPr>
          <w:rFonts w:asciiTheme="majorHAnsi" w:hAnsiTheme="majorHAnsi" w:cs="Times New Roman"/>
        </w:rPr>
      </w:pPr>
      <w:r w:rsidRPr="00D87414">
        <w:rPr>
          <w:rFonts w:asciiTheme="majorHAnsi" w:hAnsiTheme="majorHAnsi" w:cs="Times New Roman"/>
          <w:b/>
        </w:rPr>
        <w:t>Only one supervisor approved calculations made by the assistant field engineer</w:t>
      </w:r>
      <w:r w:rsidRPr="00D87414">
        <w:rPr>
          <w:rFonts w:asciiTheme="majorHAnsi" w:hAnsiTheme="majorHAnsi" w:cs="Times New Roman"/>
        </w:rPr>
        <w:t xml:space="preserve">.  Murray McDonald, was the only supervising engineer assigned to approve the work of John </w:t>
      </w:r>
      <w:proofErr w:type="gramStart"/>
      <w:r w:rsidRPr="00D87414">
        <w:rPr>
          <w:rFonts w:asciiTheme="majorHAnsi" w:hAnsiTheme="majorHAnsi" w:cs="Times New Roman"/>
        </w:rPr>
        <w:t>McKibbin,  the</w:t>
      </w:r>
      <w:proofErr w:type="gramEnd"/>
      <w:r w:rsidRPr="00D87414">
        <w:rPr>
          <w:rFonts w:asciiTheme="majorHAnsi" w:hAnsiTheme="majorHAnsi" w:cs="Times New Roman"/>
        </w:rPr>
        <w:t xml:space="preserve"> assistant field engineer.   McKibbin was twenty-three years old and two years out of university.   This supervisory arrangement grew out of the company’s unwritten policy of (isolating major projects—meaning that one project group of the company worked in total isolation of another and did not </w:t>
      </w:r>
      <w:r w:rsidR="00C142CE" w:rsidRPr="00D87414">
        <w:rPr>
          <w:rFonts w:asciiTheme="majorHAnsi" w:hAnsiTheme="majorHAnsi" w:cs="Times New Roman"/>
        </w:rPr>
        <w:t>use resources</w:t>
      </w:r>
      <w:r w:rsidRPr="00D87414">
        <w:rPr>
          <w:rFonts w:asciiTheme="majorHAnsi" w:hAnsiTheme="majorHAnsi" w:cs="Times New Roman"/>
        </w:rPr>
        <w:t xml:space="preserve"> or staff of another proje</w:t>
      </w:r>
      <w:r w:rsidR="00C142CE">
        <w:rPr>
          <w:rFonts w:asciiTheme="majorHAnsi" w:hAnsiTheme="majorHAnsi" w:cs="Times New Roman"/>
        </w:rPr>
        <w:t xml:space="preserve">ct.  In this case it meant that </w:t>
      </w:r>
      <w:r w:rsidRPr="00D87414">
        <w:rPr>
          <w:rFonts w:asciiTheme="majorHAnsi" w:hAnsiTheme="majorHAnsi" w:cs="Times New Roman"/>
        </w:rPr>
        <w:t xml:space="preserve">McKibbin’s work was only checked by McDonald who had many other significant responsibilities. </w:t>
      </w:r>
    </w:p>
    <w:p w14:paraId="6C108B72" w14:textId="7D61483B" w:rsidR="00C142CE" w:rsidRPr="00475491" w:rsidRDefault="005650CE" w:rsidP="00475491">
      <w:pPr>
        <w:pStyle w:val="ListParagraph"/>
        <w:tabs>
          <w:tab w:val="num" w:pos="1080"/>
        </w:tabs>
        <w:ind w:left="540" w:hanging="360"/>
        <w:rPr>
          <w:rFonts w:asciiTheme="majorHAnsi" w:hAnsiTheme="majorHAnsi" w:cs="Times New Roman"/>
        </w:rPr>
      </w:pPr>
      <w:r>
        <w:rPr>
          <w:rFonts w:asciiTheme="majorHAnsi" w:hAnsiTheme="majorHAnsi" w:cs="Times New Roman"/>
          <w:b/>
        </w:rPr>
        <w:tab/>
      </w:r>
      <w:r w:rsidR="00C142CE">
        <w:rPr>
          <w:rFonts w:asciiTheme="majorHAnsi" w:hAnsiTheme="majorHAnsi" w:cs="Times New Roman"/>
          <w:b/>
        </w:rPr>
        <w:t>Remedy</w:t>
      </w:r>
      <w:r w:rsidR="005E4626" w:rsidRPr="00D87414">
        <w:rPr>
          <w:rFonts w:asciiTheme="majorHAnsi" w:hAnsiTheme="majorHAnsi" w:cs="Times New Roman"/>
          <w:b/>
        </w:rPr>
        <w:t xml:space="preserve"> Required:  </w:t>
      </w:r>
      <w:r w:rsidR="00C142CE" w:rsidRPr="00C142CE">
        <w:rPr>
          <w:rFonts w:asciiTheme="majorHAnsi" w:hAnsiTheme="majorHAnsi" w:cs="Times New Roman"/>
        </w:rPr>
        <w:t>E</w:t>
      </w:r>
      <w:r w:rsidR="005E4626" w:rsidRPr="00C142CE">
        <w:rPr>
          <w:rFonts w:asciiTheme="majorHAnsi" w:hAnsiTheme="majorHAnsi" w:cs="Times New Roman"/>
        </w:rPr>
        <w:t>nsure that at least one additional experienced senior engineer approves calculations</w:t>
      </w:r>
      <w:r w:rsidR="00C142CE" w:rsidRPr="00C142CE">
        <w:rPr>
          <w:rFonts w:asciiTheme="majorHAnsi" w:hAnsiTheme="majorHAnsi" w:cs="Times New Roman"/>
        </w:rPr>
        <w:t>.</w:t>
      </w:r>
    </w:p>
    <w:p w14:paraId="51C2875A" w14:textId="77777777" w:rsidR="005E4626" w:rsidRDefault="005E4626" w:rsidP="00475491">
      <w:pPr>
        <w:pStyle w:val="ListParagraph"/>
        <w:numPr>
          <w:ilvl w:val="1"/>
          <w:numId w:val="3"/>
        </w:numPr>
        <w:tabs>
          <w:tab w:val="clear" w:pos="1440"/>
          <w:tab w:val="num" w:pos="720"/>
        </w:tabs>
        <w:spacing w:before="100" w:beforeAutospacing="1" w:line="240" w:lineRule="auto"/>
        <w:ind w:left="720" w:hanging="540"/>
        <w:rPr>
          <w:rFonts w:asciiTheme="majorHAnsi" w:hAnsiTheme="majorHAnsi" w:cs="Times New Roman"/>
          <w:b/>
        </w:rPr>
      </w:pPr>
      <w:r w:rsidRPr="00D87414">
        <w:rPr>
          <w:rFonts w:asciiTheme="majorHAnsi" w:hAnsiTheme="majorHAnsi" w:cs="Times New Roman"/>
          <w:b/>
        </w:rPr>
        <w:lastRenderedPageBreak/>
        <w:t xml:space="preserve"> Lower standards for falseworks (temporary support structure) </w:t>
      </w:r>
      <w:r w:rsidR="00C142CE">
        <w:rPr>
          <w:rFonts w:asciiTheme="majorHAnsi" w:hAnsiTheme="majorHAnsi" w:cs="Times New Roman"/>
          <w:b/>
        </w:rPr>
        <w:t xml:space="preserve">were applied </w:t>
      </w:r>
      <w:r w:rsidRPr="00D87414">
        <w:rPr>
          <w:rFonts w:asciiTheme="majorHAnsi" w:hAnsiTheme="majorHAnsi" w:cs="Times New Roman"/>
          <w:b/>
        </w:rPr>
        <w:t>ma</w:t>
      </w:r>
      <w:r w:rsidR="00C142CE">
        <w:rPr>
          <w:rFonts w:asciiTheme="majorHAnsi" w:hAnsiTheme="majorHAnsi" w:cs="Times New Roman"/>
          <w:b/>
        </w:rPr>
        <w:t>king the structure</w:t>
      </w:r>
      <w:r w:rsidRPr="00D87414">
        <w:rPr>
          <w:rFonts w:asciiTheme="majorHAnsi" w:hAnsiTheme="majorHAnsi" w:cs="Times New Roman"/>
          <w:b/>
        </w:rPr>
        <w:t xml:space="preserve"> unsafe</w:t>
      </w:r>
      <w:r w:rsidR="00C142CE">
        <w:rPr>
          <w:rFonts w:asciiTheme="majorHAnsi" w:hAnsiTheme="majorHAnsi" w:cs="Times New Roman"/>
          <w:b/>
        </w:rPr>
        <w:t>.</w:t>
      </w:r>
    </w:p>
    <w:p w14:paraId="2ECF79F6" w14:textId="77777777" w:rsidR="002B6A98" w:rsidRPr="00D87414" w:rsidRDefault="002B6A98" w:rsidP="00475491">
      <w:pPr>
        <w:pStyle w:val="ListParagraph"/>
        <w:tabs>
          <w:tab w:val="num" w:pos="720"/>
        </w:tabs>
        <w:spacing w:before="100" w:beforeAutospacing="1" w:line="240" w:lineRule="auto"/>
        <w:ind w:hanging="540"/>
        <w:rPr>
          <w:rFonts w:asciiTheme="majorHAnsi" w:hAnsiTheme="majorHAnsi" w:cs="Times New Roman"/>
          <w:b/>
        </w:rPr>
      </w:pPr>
    </w:p>
    <w:p w14:paraId="6886AC47" w14:textId="77777777" w:rsidR="005E4626" w:rsidRDefault="002B6A98" w:rsidP="00475491">
      <w:pPr>
        <w:pStyle w:val="ListParagraph"/>
        <w:tabs>
          <w:tab w:val="num" w:pos="720"/>
        </w:tabs>
        <w:spacing w:before="100" w:beforeAutospacing="1" w:after="120" w:line="240" w:lineRule="auto"/>
        <w:ind w:hanging="540"/>
        <w:rPr>
          <w:rFonts w:asciiTheme="majorHAnsi" w:hAnsiTheme="majorHAnsi" w:cs="Times New Roman"/>
          <w:b/>
        </w:rPr>
      </w:pPr>
      <w:r>
        <w:rPr>
          <w:rFonts w:asciiTheme="majorHAnsi" w:hAnsiTheme="majorHAnsi" w:cs="Times New Roman"/>
          <w:b/>
        </w:rPr>
        <w:tab/>
      </w:r>
      <w:r w:rsidR="00C142CE">
        <w:rPr>
          <w:rFonts w:asciiTheme="majorHAnsi" w:hAnsiTheme="majorHAnsi" w:cs="Times New Roman"/>
          <w:b/>
        </w:rPr>
        <w:t>Remedy required</w:t>
      </w:r>
      <w:r w:rsidR="005E4626" w:rsidRPr="00D87414">
        <w:rPr>
          <w:rFonts w:asciiTheme="majorHAnsi" w:hAnsiTheme="majorHAnsi" w:cs="Times New Roman"/>
          <w:b/>
        </w:rPr>
        <w:t xml:space="preserve">:  </w:t>
      </w:r>
      <w:r w:rsidR="005E4626" w:rsidRPr="00C142CE">
        <w:rPr>
          <w:rFonts w:asciiTheme="majorHAnsi" w:hAnsiTheme="majorHAnsi" w:cs="Times New Roman"/>
        </w:rPr>
        <w:t>Materials used in the construction of falseworks should have the same material strength requirements as materials used in the main construction of the bridge.</w:t>
      </w:r>
      <w:r w:rsidR="005E4626" w:rsidRPr="00D87414">
        <w:rPr>
          <w:rFonts w:asciiTheme="majorHAnsi" w:hAnsiTheme="majorHAnsi" w:cs="Times New Roman"/>
          <w:b/>
        </w:rPr>
        <w:t xml:space="preserve"> </w:t>
      </w:r>
    </w:p>
    <w:p w14:paraId="118C1ECD" w14:textId="77777777" w:rsidR="002B6A98" w:rsidRPr="00D87414" w:rsidRDefault="002B6A98" w:rsidP="00475491">
      <w:pPr>
        <w:pStyle w:val="ListParagraph"/>
        <w:tabs>
          <w:tab w:val="num" w:pos="720"/>
        </w:tabs>
        <w:spacing w:before="100" w:beforeAutospacing="1" w:line="240" w:lineRule="auto"/>
        <w:ind w:hanging="540"/>
        <w:rPr>
          <w:rFonts w:asciiTheme="majorHAnsi" w:hAnsiTheme="majorHAnsi" w:cs="Times New Roman"/>
          <w:b/>
        </w:rPr>
      </w:pPr>
    </w:p>
    <w:p w14:paraId="47864D61" w14:textId="77777777" w:rsidR="002B6A98" w:rsidRDefault="005E4626" w:rsidP="00475491">
      <w:pPr>
        <w:pStyle w:val="ListParagraph"/>
        <w:numPr>
          <w:ilvl w:val="1"/>
          <w:numId w:val="3"/>
        </w:numPr>
        <w:tabs>
          <w:tab w:val="clear" w:pos="1440"/>
          <w:tab w:val="num" w:pos="720"/>
        </w:tabs>
        <w:spacing w:before="100" w:beforeAutospacing="1" w:after="120" w:line="240" w:lineRule="auto"/>
        <w:ind w:left="720" w:hanging="540"/>
        <w:rPr>
          <w:rFonts w:asciiTheme="majorHAnsi" w:hAnsiTheme="majorHAnsi" w:cs="Times New Roman"/>
          <w:i/>
        </w:rPr>
      </w:pPr>
      <w:r w:rsidRPr="00D87414">
        <w:rPr>
          <w:rFonts w:asciiTheme="majorHAnsi" w:hAnsiTheme="majorHAnsi" w:cs="Times New Roman"/>
          <w:b/>
        </w:rPr>
        <w:t xml:space="preserve">One I-beam </w:t>
      </w:r>
      <w:r w:rsidR="00C142CE">
        <w:rPr>
          <w:rFonts w:asciiTheme="majorHAnsi" w:hAnsiTheme="majorHAnsi" w:cs="Times New Roman"/>
          <w:b/>
        </w:rPr>
        <w:t xml:space="preserve">in the structure that collapsed </w:t>
      </w:r>
      <w:r w:rsidRPr="00D87414">
        <w:rPr>
          <w:rFonts w:asciiTheme="majorHAnsi" w:hAnsiTheme="majorHAnsi" w:cs="Times New Roman"/>
          <w:b/>
        </w:rPr>
        <w:t xml:space="preserve">was not up to standard.  </w:t>
      </w:r>
      <w:r w:rsidR="00C142CE" w:rsidRPr="00C142CE">
        <w:rPr>
          <w:rFonts w:asciiTheme="majorHAnsi" w:hAnsiTheme="majorHAnsi" w:cs="Times New Roman"/>
        </w:rPr>
        <w:t>(</w:t>
      </w:r>
      <w:r w:rsidRPr="00C142CE">
        <w:rPr>
          <w:rFonts w:asciiTheme="majorHAnsi" w:hAnsiTheme="majorHAnsi" w:cs="Times New Roman"/>
          <w:i/>
        </w:rPr>
        <w:t>The beam in cross section looks like an “I” and sits on top of a pillar</w:t>
      </w:r>
      <w:r w:rsidR="00C142CE" w:rsidRPr="00C142CE">
        <w:rPr>
          <w:rFonts w:asciiTheme="majorHAnsi" w:hAnsiTheme="majorHAnsi" w:cs="Times New Roman"/>
          <w:i/>
        </w:rPr>
        <w:t>.)</w:t>
      </w:r>
    </w:p>
    <w:p w14:paraId="065350D8" w14:textId="77777777" w:rsidR="002B6A98" w:rsidRPr="002B6A98" w:rsidRDefault="002B6A98" w:rsidP="00475491">
      <w:pPr>
        <w:pStyle w:val="ListParagraph"/>
        <w:tabs>
          <w:tab w:val="num" w:pos="720"/>
        </w:tabs>
        <w:spacing w:before="100" w:beforeAutospacing="1" w:after="120" w:line="240" w:lineRule="auto"/>
        <w:ind w:hanging="540"/>
        <w:rPr>
          <w:rFonts w:asciiTheme="majorHAnsi" w:hAnsiTheme="majorHAnsi" w:cs="Times New Roman"/>
          <w:i/>
        </w:rPr>
      </w:pPr>
    </w:p>
    <w:p w14:paraId="45511056" w14:textId="77777777" w:rsidR="005E4626" w:rsidRDefault="002B6A98" w:rsidP="00475491">
      <w:pPr>
        <w:pStyle w:val="ListParagraph"/>
        <w:tabs>
          <w:tab w:val="num" w:pos="720"/>
        </w:tabs>
        <w:spacing w:before="100" w:beforeAutospacing="1" w:after="120" w:line="240" w:lineRule="auto"/>
        <w:ind w:hanging="540"/>
        <w:rPr>
          <w:rFonts w:asciiTheme="majorHAnsi" w:hAnsiTheme="majorHAnsi" w:cs="Times New Roman"/>
        </w:rPr>
      </w:pPr>
      <w:r>
        <w:rPr>
          <w:rFonts w:asciiTheme="majorHAnsi" w:hAnsiTheme="majorHAnsi" w:cs="Times New Roman"/>
          <w:b/>
        </w:rPr>
        <w:tab/>
      </w:r>
      <w:r w:rsidR="00C142CE">
        <w:rPr>
          <w:rFonts w:asciiTheme="majorHAnsi" w:hAnsiTheme="majorHAnsi" w:cs="Times New Roman"/>
          <w:b/>
        </w:rPr>
        <w:t xml:space="preserve">Remedy Required: </w:t>
      </w:r>
      <w:r w:rsidR="005E4626" w:rsidRPr="00D87414">
        <w:rPr>
          <w:rFonts w:asciiTheme="majorHAnsi" w:hAnsiTheme="majorHAnsi" w:cs="Times New Roman"/>
          <w:b/>
        </w:rPr>
        <w:t xml:space="preserve"> </w:t>
      </w:r>
      <w:r w:rsidR="005E4626" w:rsidRPr="00C142CE">
        <w:rPr>
          <w:rFonts w:asciiTheme="majorHAnsi" w:hAnsiTheme="majorHAnsi" w:cs="Times New Roman"/>
        </w:rPr>
        <w:t>Review to determine what steps need to be taken with respect to quality control</w:t>
      </w:r>
      <w:r w:rsidR="00C142CE">
        <w:rPr>
          <w:rFonts w:asciiTheme="majorHAnsi" w:hAnsiTheme="majorHAnsi" w:cs="Times New Roman"/>
        </w:rPr>
        <w:t xml:space="preserve"> of component parts of the structure.</w:t>
      </w:r>
    </w:p>
    <w:p w14:paraId="51EC90FA" w14:textId="77777777" w:rsidR="002B6A98" w:rsidRPr="00C142CE" w:rsidRDefault="002B6A98" w:rsidP="00475491">
      <w:pPr>
        <w:pStyle w:val="ListParagraph"/>
        <w:tabs>
          <w:tab w:val="num" w:pos="720"/>
        </w:tabs>
        <w:spacing w:before="100" w:beforeAutospacing="1" w:line="240" w:lineRule="auto"/>
        <w:ind w:hanging="540"/>
        <w:rPr>
          <w:rFonts w:asciiTheme="majorHAnsi" w:hAnsiTheme="majorHAnsi" w:cs="Times New Roman"/>
        </w:rPr>
      </w:pPr>
    </w:p>
    <w:p w14:paraId="7B82A993" w14:textId="77777777" w:rsidR="005E4626" w:rsidRPr="00D87414" w:rsidRDefault="005E4626" w:rsidP="00475491">
      <w:pPr>
        <w:pStyle w:val="ListParagraph"/>
        <w:numPr>
          <w:ilvl w:val="1"/>
          <w:numId w:val="3"/>
        </w:numPr>
        <w:tabs>
          <w:tab w:val="clear" w:pos="1440"/>
          <w:tab w:val="num" w:pos="720"/>
        </w:tabs>
        <w:spacing w:before="100" w:beforeAutospacing="1" w:after="120" w:line="240" w:lineRule="auto"/>
        <w:ind w:left="720" w:hanging="540"/>
        <w:rPr>
          <w:rFonts w:asciiTheme="majorHAnsi" w:hAnsiTheme="majorHAnsi" w:cs="Times New Roman"/>
          <w:b/>
        </w:rPr>
      </w:pPr>
      <w:r w:rsidRPr="00D87414">
        <w:rPr>
          <w:rFonts w:asciiTheme="majorHAnsi" w:hAnsiTheme="majorHAnsi" w:cs="Times New Roman"/>
          <w:b/>
        </w:rPr>
        <w:t>The use of “soft packing” for the beams that supported the temporary tower was a contributing cause of the collapse</w:t>
      </w:r>
      <w:r w:rsidR="002B6A98">
        <w:rPr>
          <w:rFonts w:asciiTheme="majorHAnsi" w:hAnsiTheme="majorHAnsi" w:cs="Times New Roman"/>
          <w:b/>
        </w:rPr>
        <w:t>.</w:t>
      </w:r>
      <w:r w:rsidRPr="00D87414">
        <w:rPr>
          <w:rFonts w:asciiTheme="majorHAnsi" w:hAnsiTheme="majorHAnsi" w:cs="Times New Roman"/>
          <w:b/>
        </w:rPr>
        <w:t xml:space="preserve"> </w:t>
      </w:r>
    </w:p>
    <w:p w14:paraId="5EB055AD" w14:textId="77777777" w:rsidR="000E1A4A" w:rsidRDefault="000E1A4A" w:rsidP="00475491">
      <w:pPr>
        <w:pStyle w:val="ListParagraph"/>
        <w:tabs>
          <w:tab w:val="num" w:pos="720"/>
        </w:tabs>
        <w:spacing w:before="100" w:beforeAutospacing="1" w:after="120" w:line="240" w:lineRule="auto"/>
        <w:ind w:hanging="540"/>
        <w:rPr>
          <w:rFonts w:asciiTheme="majorHAnsi" w:hAnsiTheme="majorHAnsi" w:cs="Times New Roman"/>
          <w:b/>
        </w:rPr>
      </w:pPr>
    </w:p>
    <w:p w14:paraId="2DD3AFA1" w14:textId="77777777" w:rsidR="005E4626" w:rsidRPr="00D87414" w:rsidRDefault="000E1A4A" w:rsidP="00475491">
      <w:pPr>
        <w:pStyle w:val="ListParagraph"/>
        <w:tabs>
          <w:tab w:val="num" w:pos="720"/>
        </w:tabs>
        <w:spacing w:before="100" w:beforeAutospacing="1" w:after="120" w:line="240" w:lineRule="auto"/>
        <w:ind w:hanging="540"/>
        <w:rPr>
          <w:rFonts w:asciiTheme="majorHAnsi" w:hAnsiTheme="majorHAnsi" w:cs="Times New Roman"/>
          <w:b/>
        </w:rPr>
      </w:pPr>
      <w:r>
        <w:rPr>
          <w:rFonts w:asciiTheme="majorHAnsi" w:hAnsiTheme="majorHAnsi" w:cs="Times New Roman"/>
          <w:b/>
        </w:rPr>
        <w:tab/>
      </w:r>
      <w:r w:rsidR="002B6A98">
        <w:rPr>
          <w:rFonts w:asciiTheme="majorHAnsi" w:hAnsiTheme="majorHAnsi" w:cs="Times New Roman"/>
          <w:b/>
        </w:rPr>
        <w:t>Remedy required</w:t>
      </w:r>
      <w:r w:rsidR="005E4626" w:rsidRPr="00D87414">
        <w:rPr>
          <w:rFonts w:asciiTheme="majorHAnsi" w:hAnsiTheme="majorHAnsi" w:cs="Times New Roman"/>
          <w:b/>
        </w:rPr>
        <w:t xml:space="preserve">: </w:t>
      </w:r>
      <w:r w:rsidR="005E4626" w:rsidRPr="002B6A98">
        <w:rPr>
          <w:rFonts w:asciiTheme="majorHAnsi" w:hAnsiTheme="majorHAnsi" w:cs="Times New Roman"/>
        </w:rPr>
        <w:t xml:space="preserve">Review to determine how the beams that supported the temporary tower will be soft packed in the future. </w:t>
      </w:r>
    </w:p>
    <w:p w14:paraId="2D058EE7" w14:textId="77777777" w:rsidR="005E4626" w:rsidRPr="00D87414" w:rsidRDefault="005E4626" w:rsidP="005E4626">
      <w:pPr>
        <w:pStyle w:val="ListParagraph"/>
        <w:ind w:left="644"/>
        <w:rPr>
          <w:rFonts w:asciiTheme="majorHAnsi" w:hAnsiTheme="majorHAnsi" w:cs="Times New Roman"/>
          <w:u w:val="single"/>
        </w:rPr>
      </w:pPr>
    </w:p>
    <w:p w14:paraId="4947FE79" w14:textId="77777777" w:rsidR="007B2EF3" w:rsidRDefault="005E4626" w:rsidP="005E4626">
      <w:pPr>
        <w:pStyle w:val="ListParagraph"/>
        <w:numPr>
          <w:ilvl w:val="0"/>
          <w:numId w:val="4"/>
        </w:numPr>
        <w:rPr>
          <w:rFonts w:asciiTheme="majorHAnsi" w:hAnsiTheme="majorHAnsi" w:cs="Times New Roman"/>
          <w:b/>
        </w:rPr>
      </w:pPr>
      <w:r w:rsidRPr="00D87414">
        <w:rPr>
          <w:rFonts w:asciiTheme="majorHAnsi" w:hAnsiTheme="majorHAnsi" w:cs="Times New Roman"/>
        </w:rPr>
        <w:t xml:space="preserve"> </w:t>
      </w:r>
      <w:r w:rsidRPr="00D87414">
        <w:rPr>
          <w:rFonts w:asciiTheme="majorHAnsi" w:hAnsiTheme="majorHAnsi" w:cs="Times New Roman"/>
          <w:b/>
        </w:rPr>
        <w:t xml:space="preserve">The Ironworkers Memorial Bridge is one of three connections between Vancouver and the North Shore.   Why is it so important? </w:t>
      </w:r>
    </w:p>
    <w:p w14:paraId="69FA3787" w14:textId="77777777" w:rsidR="005E4626" w:rsidRPr="00475491" w:rsidRDefault="007B2EF3" w:rsidP="00475491">
      <w:pPr>
        <w:ind w:left="502"/>
        <w:rPr>
          <w:rFonts w:asciiTheme="majorHAnsi" w:hAnsiTheme="majorHAnsi" w:cs="Times New Roman"/>
          <w:b/>
        </w:rPr>
      </w:pPr>
      <w:r>
        <w:rPr>
          <w:rFonts w:asciiTheme="majorHAnsi" w:hAnsiTheme="majorHAnsi" w:cs="Times New Roman"/>
          <w:lang w:val="en-US"/>
        </w:rPr>
        <w:t>Answer</w:t>
      </w:r>
      <w:r>
        <w:rPr>
          <w:rFonts w:asciiTheme="majorHAnsi" w:hAnsiTheme="majorHAnsi" w:cs="Times New Roman"/>
        </w:rPr>
        <w:t xml:space="preserve">: </w:t>
      </w:r>
      <w:r w:rsidR="005E4626" w:rsidRPr="007B2EF3">
        <w:rPr>
          <w:rFonts w:asciiTheme="majorHAnsi" w:hAnsiTheme="majorHAnsi" w:cs="Times New Roman"/>
        </w:rPr>
        <w:t>Th</w:t>
      </w:r>
      <w:r w:rsidR="005E4626" w:rsidRPr="007B2EF3">
        <w:rPr>
          <w:rFonts w:asciiTheme="majorHAnsi" w:hAnsiTheme="majorHAnsi" w:cs="Times New Roman"/>
          <w:b/>
        </w:rPr>
        <w:t>e</w:t>
      </w:r>
      <w:r w:rsidR="005E4626" w:rsidRPr="007B2EF3">
        <w:rPr>
          <w:rFonts w:asciiTheme="majorHAnsi" w:hAnsiTheme="majorHAnsi" w:cs="Times New Roman"/>
        </w:rPr>
        <w:t xml:space="preserve"> three </w:t>
      </w:r>
      <w:r>
        <w:rPr>
          <w:rFonts w:asciiTheme="majorHAnsi" w:hAnsiTheme="majorHAnsi" w:cs="Times New Roman"/>
        </w:rPr>
        <w:t xml:space="preserve">current </w:t>
      </w:r>
      <w:r w:rsidR="005E4626" w:rsidRPr="007B2EF3">
        <w:rPr>
          <w:rFonts w:asciiTheme="majorHAnsi" w:hAnsiTheme="majorHAnsi" w:cs="Times New Roman"/>
        </w:rPr>
        <w:t xml:space="preserve">connections are Ironworkers, Lions Gate and the </w:t>
      </w:r>
      <w:proofErr w:type="spellStart"/>
      <w:r w:rsidR="005E4626" w:rsidRPr="007B2EF3">
        <w:rPr>
          <w:rFonts w:asciiTheme="majorHAnsi" w:hAnsiTheme="majorHAnsi" w:cs="Times New Roman"/>
        </w:rPr>
        <w:t>Seabus</w:t>
      </w:r>
      <w:proofErr w:type="spellEnd"/>
      <w:r w:rsidR="005E4626" w:rsidRPr="007B2EF3">
        <w:rPr>
          <w:rFonts w:asciiTheme="majorHAnsi" w:hAnsiTheme="majorHAnsi" w:cs="Times New Roman"/>
        </w:rPr>
        <w:t>.   The Ironworkers is a vital connection between the North Shore, the communities that lie to the north—Squamish, Whistler and Pemberton and the lower mainland.  It is also a vital commercial corridor to Va</w:t>
      </w:r>
      <w:r>
        <w:rPr>
          <w:rFonts w:asciiTheme="majorHAnsi" w:hAnsiTheme="majorHAnsi" w:cs="Times New Roman"/>
        </w:rPr>
        <w:t>ncouver Island via BC Ferries</w:t>
      </w:r>
      <w:r w:rsidR="005E4626" w:rsidRPr="007B2EF3">
        <w:rPr>
          <w:rFonts w:asciiTheme="majorHAnsi" w:hAnsiTheme="majorHAnsi" w:cs="Times New Roman"/>
        </w:rPr>
        <w:t>.</w:t>
      </w:r>
    </w:p>
    <w:p w14:paraId="3F313280" w14:textId="77777777" w:rsidR="007B2EF3" w:rsidRDefault="005E4626" w:rsidP="007B2EF3">
      <w:pPr>
        <w:pStyle w:val="ListParagraph"/>
        <w:numPr>
          <w:ilvl w:val="0"/>
          <w:numId w:val="4"/>
        </w:numPr>
        <w:rPr>
          <w:rFonts w:asciiTheme="majorHAnsi" w:hAnsiTheme="majorHAnsi" w:cs="Times New Roman"/>
          <w:b/>
        </w:rPr>
      </w:pPr>
      <w:r w:rsidRPr="00D87414">
        <w:rPr>
          <w:rFonts w:asciiTheme="majorHAnsi" w:hAnsiTheme="majorHAnsi" w:cs="Times New Roman"/>
          <w:b/>
        </w:rPr>
        <w:t xml:space="preserve">What is a disaster?  Would you call the collapse of the bridge a disaster? </w:t>
      </w:r>
    </w:p>
    <w:p w14:paraId="5D6B2706" w14:textId="77777777" w:rsidR="007B2EF3" w:rsidRDefault="007B2EF3" w:rsidP="007B2EF3">
      <w:pPr>
        <w:pStyle w:val="ListParagraph"/>
        <w:ind w:left="502"/>
        <w:rPr>
          <w:rFonts w:asciiTheme="majorHAnsi" w:hAnsiTheme="majorHAnsi" w:cs="Times New Roman"/>
        </w:rPr>
      </w:pPr>
    </w:p>
    <w:p w14:paraId="72C4F8CE" w14:textId="77777777" w:rsidR="005E4626" w:rsidRPr="007B2EF3" w:rsidRDefault="007B2EF3" w:rsidP="007B2EF3">
      <w:pPr>
        <w:pStyle w:val="ListParagraph"/>
        <w:ind w:left="502"/>
        <w:rPr>
          <w:rFonts w:asciiTheme="majorHAnsi" w:hAnsiTheme="majorHAnsi" w:cs="Times New Roman"/>
          <w:b/>
        </w:rPr>
      </w:pPr>
      <w:r w:rsidRPr="007B2EF3">
        <w:rPr>
          <w:rFonts w:asciiTheme="majorHAnsi" w:hAnsiTheme="majorHAnsi" w:cs="Times New Roman"/>
        </w:rPr>
        <w:t xml:space="preserve">Answer: </w:t>
      </w:r>
      <w:r w:rsidR="005E4626" w:rsidRPr="007B2EF3">
        <w:rPr>
          <w:rFonts w:asciiTheme="majorHAnsi" w:hAnsiTheme="majorHAnsi" w:cs="Times New Roman"/>
        </w:rPr>
        <w:t>The Oxford dictionary defines a disaster as “...a sudden accident or a natural catastrophe that causes great damage or loss of life.</w:t>
      </w:r>
    </w:p>
    <w:p w14:paraId="0989D8B2" w14:textId="77777777" w:rsidR="005E4626" w:rsidRPr="00D87414" w:rsidRDefault="005E4626" w:rsidP="005E4626">
      <w:pPr>
        <w:pStyle w:val="ListParagraph"/>
        <w:rPr>
          <w:rFonts w:asciiTheme="majorHAnsi" w:hAnsiTheme="majorHAnsi" w:cs="Times New Roman"/>
        </w:rPr>
      </w:pPr>
    </w:p>
    <w:p w14:paraId="084AE0AF" w14:textId="77777777" w:rsidR="005E4626" w:rsidRPr="00D87414" w:rsidRDefault="005E4626" w:rsidP="005E4626">
      <w:pPr>
        <w:pStyle w:val="ListParagraph"/>
        <w:numPr>
          <w:ilvl w:val="0"/>
          <w:numId w:val="4"/>
        </w:numPr>
        <w:rPr>
          <w:rFonts w:asciiTheme="majorHAnsi" w:hAnsiTheme="majorHAnsi" w:cs="Times New Roman"/>
          <w:b/>
        </w:rPr>
      </w:pPr>
      <w:r w:rsidRPr="00D87414">
        <w:rPr>
          <w:rFonts w:asciiTheme="majorHAnsi" w:hAnsiTheme="majorHAnsi" w:cs="Times New Roman"/>
          <w:b/>
        </w:rPr>
        <w:t xml:space="preserve">What is the difference between a sudden accident and a natural catastrophe? </w:t>
      </w:r>
    </w:p>
    <w:p w14:paraId="3B9A6002" w14:textId="77777777" w:rsidR="007B2EF3" w:rsidRDefault="007B2EF3" w:rsidP="005E4626">
      <w:pPr>
        <w:pStyle w:val="ListParagraph"/>
        <w:ind w:left="644"/>
        <w:rPr>
          <w:rFonts w:asciiTheme="majorHAnsi" w:hAnsiTheme="majorHAnsi" w:cs="Times New Roman"/>
        </w:rPr>
      </w:pPr>
    </w:p>
    <w:p w14:paraId="2C61FCAD" w14:textId="77777777" w:rsidR="005E4626" w:rsidRPr="00D87414" w:rsidRDefault="007B2EF3" w:rsidP="005E4626">
      <w:pPr>
        <w:pStyle w:val="ListParagraph"/>
        <w:ind w:left="644"/>
        <w:rPr>
          <w:rFonts w:asciiTheme="majorHAnsi" w:hAnsiTheme="majorHAnsi" w:cs="Times New Roman"/>
        </w:rPr>
      </w:pPr>
      <w:r>
        <w:rPr>
          <w:rFonts w:asciiTheme="majorHAnsi" w:hAnsiTheme="majorHAnsi" w:cs="Times New Roman"/>
        </w:rPr>
        <w:t xml:space="preserve">Answer: </w:t>
      </w:r>
      <w:r w:rsidR="005E4626" w:rsidRPr="00D87414">
        <w:rPr>
          <w:rFonts w:asciiTheme="majorHAnsi" w:hAnsiTheme="majorHAnsi" w:cs="Times New Roman"/>
        </w:rPr>
        <w:t xml:space="preserve">The term </w:t>
      </w:r>
      <w:r w:rsidR="005E4626" w:rsidRPr="00D87414">
        <w:rPr>
          <w:rFonts w:asciiTheme="majorHAnsi" w:hAnsiTheme="majorHAnsi" w:cs="Times New Roman"/>
          <w:b/>
        </w:rPr>
        <w:t>“accident</w:t>
      </w:r>
      <w:r w:rsidR="005E4626" w:rsidRPr="00D87414">
        <w:rPr>
          <w:rFonts w:asciiTheme="majorHAnsi" w:hAnsiTheme="majorHAnsi" w:cs="Times New Roman"/>
        </w:rPr>
        <w:t>” can be defined as an unplanned event that interrupts the completion of an activity and may (or may not) include injury or property damage. It can include both human error, human neglect or a natural catastrophe.</w:t>
      </w:r>
    </w:p>
    <w:p w14:paraId="46274B6B" w14:textId="77777777" w:rsidR="007B2EF3" w:rsidRDefault="005E4626" w:rsidP="00475491">
      <w:pPr>
        <w:pStyle w:val="ListParagraph"/>
        <w:ind w:left="644"/>
        <w:rPr>
          <w:rFonts w:asciiTheme="majorHAnsi" w:hAnsiTheme="majorHAnsi" w:cs="Times New Roman"/>
        </w:rPr>
      </w:pPr>
      <w:r w:rsidRPr="00D87414">
        <w:rPr>
          <w:rFonts w:asciiTheme="majorHAnsi" w:hAnsiTheme="majorHAnsi" w:cs="Times New Roman"/>
          <w:b/>
        </w:rPr>
        <w:t xml:space="preserve">A natural catastrophe </w:t>
      </w:r>
      <w:r w:rsidRPr="00D87414">
        <w:rPr>
          <w:rFonts w:asciiTheme="majorHAnsi" w:hAnsiTheme="majorHAnsi" w:cs="Times New Roman"/>
        </w:rPr>
        <w:t>is a major adverse event resulting from natural processes of the Earth examples includes floods, volcanoes, earthquakes, tsunamis</w:t>
      </w:r>
      <w:r w:rsidR="007B2EF3">
        <w:rPr>
          <w:rFonts w:asciiTheme="majorHAnsi" w:hAnsiTheme="majorHAnsi" w:cs="Times New Roman"/>
        </w:rPr>
        <w:t xml:space="preserve"> and other geological processes.</w:t>
      </w:r>
    </w:p>
    <w:p w14:paraId="6C852827" w14:textId="77777777" w:rsidR="00475491" w:rsidRPr="00475491" w:rsidRDefault="00475491" w:rsidP="00475491">
      <w:pPr>
        <w:pStyle w:val="ListParagraph"/>
        <w:ind w:left="644"/>
        <w:rPr>
          <w:rFonts w:asciiTheme="majorHAnsi" w:hAnsiTheme="majorHAnsi" w:cs="Times New Roman"/>
        </w:rPr>
      </w:pPr>
    </w:p>
    <w:p w14:paraId="4B6249AB" w14:textId="77777777" w:rsidR="005650CE" w:rsidRDefault="005650CE">
      <w:pPr>
        <w:rPr>
          <w:rFonts w:asciiTheme="majorHAnsi" w:hAnsiTheme="majorHAnsi" w:cs="Times New Roman"/>
          <w:b/>
          <w:lang w:val="en-US"/>
        </w:rPr>
      </w:pPr>
      <w:r>
        <w:rPr>
          <w:rFonts w:asciiTheme="majorHAnsi" w:hAnsiTheme="majorHAnsi" w:cs="Times New Roman"/>
          <w:b/>
        </w:rPr>
        <w:br w:type="page"/>
      </w:r>
    </w:p>
    <w:p w14:paraId="14B0F55F" w14:textId="627637A3" w:rsidR="005E4626" w:rsidRDefault="00574A39" w:rsidP="005E4626">
      <w:pPr>
        <w:pStyle w:val="ListParagraph"/>
        <w:numPr>
          <w:ilvl w:val="0"/>
          <w:numId w:val="4"/>
        </w:numPr>
        <w:rPr>
          <w:rFonts w:asciiTheme="majorHAnsi" w:hAnsiTheme="majorHAnsi" w:cs="Times New Roman"/>
          <w:b/>
        </w:rPr>
      </w:pPr>
      <w:r>
        <w:rPr>
          <w:rFonts w:asciiTheme="majorHAnsi" w:hAnsiTheme="majorHAnsi" w:cs="Times New Roman"/>
          <w:b/>
        </w:rPr>
        <w:lastRenderedPageBreak/>
        <w:t>Under what circumstances are</w:t>
      </w:r>
      <w:r w:rsidR="005E4626" w:rsidRPr="00D87414">
        <w:rPr>
          <w:rFonts w:asciiTheme="majorHAnsi" w:hAnsiTheme="majorHAnsi" w:cs="Times New Roman"/>
          <w:b/>
        </w:rPr>
        <w:t xml:space="preserve"> authorities</w:t>
      </w:r>
      <w:r>
        <w:rPr>
          <w:rFonts w:asciiTheme="majorHAnsi" w:hAnsiTheme="majorHAnsi" w:cs="Times New Roman"/>
          <w:b/>
        </w:rPr>
        <w:t xml:space="preserve"> </w:t>
      </w:r>
      <w:r w:rsidR="005E4626" w:rsidRPr="00D87414">
        <w:rPr>
          <w:rFonts w:asciiTheme="majorHAnsi" w:hAnsiTheme="majorHAnsi" w:cs="Times New Roman"/>
          <w:b/>
        </w:rPr>
        <w:t xml:space="preserve">required </w:t>
      </w:r>
      <w:r>
        <w:rPr>
          <w:rFonts w:asciiTheme="majorHAnsi" w:hAnsiTheme="majorHAnsi" w:cs="Times New Roman"/>
          <w:b/>
        </w:rPr>
        <w:t>to conduct investigations into workplace safety? What is the purpose of the investigation?</w:t>
      </w:r>
    </w:p>
    <w:p w14:paraId="63C20597" w14:textId="77777777" w:rsidR="00574A39" w:rsidRDefault="00574A39" w:rsidP="00574A39">
      <w:pPr>
        <w:pStyle w:val="ListParagraph"/>
        <w:ind w:left="502"/>
        <w:rPr>
          <w:rFonts w:asciiTheme="majorHAnsi" w:hAnsiTheme="majorHAnsi" w:cs="Times New Roman"/>
          <w:b/>
        </w:rPr>
      </w:pPr>
    </w:p>
    <w:p w14:paraId="255D6805" w14:textId="77777777" w:rsidR="005E4626" w:rsidRPr="00574A39" w:rsidRDefault="00574A39" w:rsidP="00574A39">
      <w:pPr>
        <w:pStyle w:val="ListParagraph"/>
        <w:ind w:left="502"/>
        <w:rPr>
          <w:rFonts w:asciiTheme="majorHAnsi" w:hAnsiTheme="majorHAnsi" w:cs="Times New Roman"/>
        </w:rPr>
      </w:pPr>
      <w:r w:rsidRPr="00574A39">
        <w:rPr>
          <w:rFonts w:asciiTheme="majorHAnsi" w:hAnsiTheme="majorHAnsi" w:cs="Times New Roman"/>
        </w:rPr>
        <w:t>Answer</w:t>
      </w:r>
      <w:r>
        <w:rPr>
          <w:rFonts w:asciiTheme="majorHAnsi" w:hAnsiTheme="majorHAnsi" w:cs="Times New Roman"/>
        </w:rPr>
        <w:t xml:space="preserve">: In </w:t>
      </w:r>
      <w:r w:rsidR="005E4626" w:rsidRPr="00574A39">
        <w:rPr>
          <w:rFonts w:asciiTheme="majorHAnsi" w:hAnsiTheme="majorHAnsi" w:cs="Times New Roman"/>
        </w:rPr>
        <w:t xml:space="preserve">situations that present a high risk of causing a serious injury or death and accidents(incidents) and natural catastrophes that have caused a serious accident or death.   </w:t>
      </w:r>
      <w:r w:rsidR="005E4626" w:rsidRPr="00574A39">
        <w:rPr>
          <w:rFonts w:asciiTheme="majorHAnsi" w:hAnsiTheme="majorHAnsi" w:cs="Times New Roman"/>
          <w:b/>
        </w:rPr>
        <w:t xml:space="preserve"> </w:t>
      </w:r>
    </w:p>
    <w:p w14:paraId="0B6C4C74" w14:textId="77777777" w:rsidR="005E4626" w:rsidRPr="00574A39" w:rsidRDefault="005E4626" w:rsidP="00574A39">
      <w:pPr>
        <w:rPr>
          <w:rFonts w:asciiTheme="majorHAnsi" w:hAnsiTheme="majorHAnsi" w:cs="Times New Roman"/>
          <w:b/>
        </w:rPr>
      </w:pPr>
      <w:r w:rsidRPr="00D87414">
        <w:rPr>
          <w:rFonts w:asciiTheme="majorHAnsi" w:hAnsiTheme="majorHAnsi" w:cs="Times New Roman"/>
          <w:b/>
        </w:rPr>
        <w:t xml:space="preserve">           </w:t>
      </w:r>
      <w:r w:rsidRPr="00574A39">
        <w:rPr>
          <w:rFonts w:asciiTheme="majorHAnsi" w:hAnsiTheme="majorHAnsi" w:cs="Times New Roman"/>
        </w:rPr>
        <w:t xml:space="preserve"> </w:t>
      </w:r>
      <w:r w:rsidR="00574A39" w:rsidRPr="00574A39">
        <w:rPr>
          <w:rFonts w:asciiTheme="majorHAnsi" w:hAnsiTheme="majorHAnsi" w:cs="Times New Roman"/>
        </w:rPr>
        <w:t>Investigations</w:t>
      </w:r>
      <w:r w:rsidR="00574A39">
        <w:rPr>
          <w:rFonts w:asciiTheme="majorHAnsi" w:hAnsiTheme="majorHAnsi" w:cs="Times New Roman"/>
          <w:b/>
        </w:rPr>
        <w:t xml:space="preserve"> </w:t>
      </w:r>
      <w:r w:rsidR="00574A39">
        <w:rPr>
          <w:rFonts w:asciiTheme="majorHAnsi" w:eastAsia="Times New Roman" w:hAnsiTheme="majorHAnsi" w:cs="Times New Roman"/>
        </w:rPr>
        <w:t>d</w:t>
      </w:r>
      <w:r w:rsidRPr="00574A39">
        <w:rPr>
          <w:rFonts w:asciiTheme="majorHAnsi" w:eastAsia="Times New Roman" w:hAnsiTheme="majorHAnsi" w:cs="Times New Roman"/>
        </w:rPr>
        <w:t>etermine the causes and underlying factors</w:t>
      </w:r>
    </w:p>
    <w:p w14:paraId="54BDC04D" w14:textId="77777777" w:rsidR="005E4626" w:rsidRPr="00D87414" w:rsidRDefault="005E4626" w:rsidP="00574A39">
      <w:pPr>
        <w:pStyle w:val="ListParagraph"/>
        <w:numPr>
          <w:ilvl w:val="0"/>
          <w:numId w:val="6"/>
        </w:numPr>
        <w:tabs>
          <w:tab w:val="clear" w:pos="720"/>
          <w:tab w:val="num" w:pos="900"/>
        </w:tabs>
        <w:spacing w:before="100" w:beforeAutospacing="1" w:after="100" w:afterAutospacing="1" w:line="240" w:lineRule="auto"/>
        <w:ind w:left="900"/>
        <w:rPr>
          <w:rFonts w:asciiTheme="majorHAnsi" w:eastAsia="Times New Roman" w:hAnsiTheme="majorHAnsi" w:cs="Times New Roman"/>
        </w:rPr>
      </w:pPr>
      <w:r w:rsidRPr="00D87414">
        <w:rPr>
          <w:rFonts w:asciiTheme="majorHAnsi" w:eastAsia="Times New Roman" w:hAnsiTheme="majorHAnsi" w:cs="Times New Roman"/>
        </w:rPr>
        <w:t>Provide recommendations to industry to aid in the prevention of future injury and disease</w:t>
      </w:r>
    </w:p>
    <w:p w14:paraId="0E8732BA" w14:textId="77777777" w:rsidR="005E4626" w:rsidRPr="00D87414" w:rsidRDefault="005E4626" w:rsidP="00574A39">
      <w:pPr>
        <w:numPr>
          <w:ilvl w:val="0"/>
          <w:numId w:val="6"/>
        </w:numPr>
        <w:tabs>
          <w:tab w:val="clear" w:pos="720"/>
          <w:tab w:val="num" w:pos="900"/>
        </w:tabs>
        <w:spacing w:before="100" w:beforeAutospacing="1" w:after="100" w:afterAutospacing="1" w:line="240" w:lineRule="auto"/>
        <w:ind w:left="900"/>
        <w:rPr>
          <w:rFonts w:asciiTheme="majorHAnsi" w:eastAsia="Times New Roman" w:hAnsiTheme="majorHAnsi" w:cs="Times New Roman"/>
        </w:rPr>
      </w:pPr>
      <w:r w:rsidRPr="00D87414">
        <w:rPr>
          <w:rFonts w:asciiTheme="majorHAnsi" w:eastAsia="Times New Roman" w:hAnsiTheme="majorHAnsi" w:cs="Times New Roman"/>
        </w:rPr>
        <w:t>Gather information to help monitor and analyze industry trends on workplace fatalities, serious injuries, and diseases</w:t>
      </w:r>
    </w:p>
    <w:p w14:paraId="73B1BA7F" w14:textId="77777777" w:rsidR="005E4626" w:rsidRPr="00D87414" w:rsidRDefault="005E4626" w:rsidP="00574A39">
      <w:pPr>
        <w:numPr>
          <w:ilvl w:val="0"/>
          <w:numId w:val="6"/>
        </w:numPr>
        <w:tabs>
          <w:tab w:val="clear" w:pos="720"/>
          <w:tab w:val="num" w:pos="900"/>
        </w:tabs>
        <w:spacing w:before="100" w:beforeAutospacing="1" w:after="100" w:afterAutospacing="1" w:line="240" w:lineRule="auto"/>
        <w:ind w:left="900"/>
        <w:rPr>
          <w:rFonts w:asciiTheme="majorHAnsi" w:eastAsia="Times New Roman" w:hAnsiTheme="majorHAnsi" w:cs="Times New Roman"/>
        </w:rPr>
      </w:pPr>
      <w:r w:rsidRPr="00D87414">
        <w:rPr>
          <w:rFonts w:asciiTheme="majorHAnsi" w:eastAsia="Times New Roman" w:hAnsiTheme="majorHAnsi" w:cs="Times New Roman"/>
        </w:rPr>
        <w:t>Identify associated compliance issues and help ensure compliance with law, regulation, and policy</w:t>
      </w:r>
    </w:p>
    <w:p w14:paraId="044C8B6F" w14:textId="77777777" w:rsidR="005E4626" w:rsidRPr="00DA6603" w:rsidRDefault="005E4626" w:rsidP="00DA6603">
      <w:pPr>
        <w:numPr>
          <w:ilvl w:val="0"/>
          <w:numId w:val="6"/>
        </w:numPr>
        <w:tabs>
          <w:tab w:val="clear" w:pos="720"/>
          <w:tab w:val="num" w:pos="900"/>
        </w:tabs>
        <w:spacing w:before="100" w:beforeAutospacing="1" w:after="100" w:afterAutospacing="1" w:line="240" w:lineRule="auto"/>
        <w:ind w:left="900"/>
        <w:rPr>
          <w:rFonts w:asciiTheme="majorHAnsi" w:eastAsia="Times New Roman" w:hAnsiTheme="majorHAnsi" w:cs="Times New Roman"/>
        </w:rPr>
      </w:pPr>
      <w:r w:rsidRPr="00D87414">
        <w:rPr>
          <w:rFonts w:asciiTheme="majorHAnsi" w:eastAsia="Times New Roman" w:hAnsiTheme="majorHAnsi" w:cs="Times New Roman"/>
        </w:rPr>
        <w:t>Refer cases for prosecution or administr</w:t>
      </w:r>
      <w:r w:rsidR="00574A39">
        <w:rPr>
          <w:rFonts w:asciiTheme="majorHAnsi" w:eastAsia="Times New Roman" w:hAnsiTheme="majorHAnsi" w:cs="Times New Roman"/>
        </w:rPr>
        <w:t>ative penalties, when necessary</w:t>
      </w:r>
    </w:p>
    <w:p w14:paraId="078DC704" w14:textId="77777777" w:rsidR="005E4626" w:rsidRPr="00D87414" w:rsidRDefault="005E4626" w:rsidP="00574A39">
      <w:pPr>
        <w:pStyle w:val="ListParagraph"/>
        <w:numPr>
          <w:ilvl w:val="0"/>
          <w:numId w:val="4"/>
        </w:numPr>
        <w:rPr>
          <w:rFonts w:asciiTheme="majorHAnsi" w:hAnsiTheme="majorHAnsi" w:cs="Times New Roman"/>
          <w:b/>
        </w:rPr>
      </w:pPr>
      <w:r w:rsidRPr="00D87414">
        <w:rPr>
          <w:rFonts w:asciiTheme="majorHAnsi" w:hAnsiTheme="majorHAnsi" w:cs="Times New Roman"/>
          <w:b/>
        </w:rPr>
        <w:t xml:space="preserve">Why is it important to determine the causes of an accident? </w:t>
      </w:r>
    </w:p>
    <w:p w14:paraId="6518A5F0" w14:textId="77777777" w:rsidR="00574A39" w:rsidRDefault="00574A39" w:rsidP="005E4626">
      <w:pPr>
        <w:pStyle w:val="ListParagraph"/>
        <w:rPr>
          <w:rFonts w:asciiTheme="majorHAnsi" w:hAnsiTheme="majorHAnsi"/>
        </w:rPr>
      </w:pPr>
    </w:p>
    <w:p w14:paraId="7DA2DEF2" w14:textId="77777777" w:rsidR="005E4626" w:rsidRPr="00DA6603" w:rsidRDefault="005E4626" w:rsidP="00DA6603">
      <w:pPr>
        <w:pStyle w:val="ListParagraph"/>
        <w:ind w:left="540"/>
        <w:rPr>
          <w:rFonts w:asciiTheme="majorHAnsi" w:hAnsiTheme="majorHAnsi" w:cs="Times New Roman"/>
        </w:rPr>
      </w:pPr>
      <w:r w:rsidRPr="00D87414">
        <w:rPr>
          <w:rFonts w:asciiTheme="majorHAnsi" w:hAnsiTheme="majorHAnsi"/>
        </w:rPr>
        <w:t xml:space="preserve">Answer: The term "accident" can be defined as an unplanned event that interrupts the completion of an activity, and that may (or may not) include injury or property damage.  In addition to comments in #4, determination of cause is required to fulfill any legal requirements, to determine the cost of an accident, to determine liabilities </w:t>
      </w:r>
      <w:r w:rsidR="00574A39">
        <w:rPr>
          <w:rFonts w:asciiTheme="majorHAnsi" w:hAnsiTheme="majorHAnsi"/>
        </w:rPr>
        <w:t>and other financial obligations.</w:t>
      </w:r>
    </w:p>
    <w:p w14:paraId="6C4FE64B" w14:textId="77777777" w:rsidR="005E4626" w:rsidRPr="00D87414" w:rsidRDefault="005E4626" w:rsidP="005E4626">
      <w:pPr>
        <w:pStyle w:val="ListParagraph"/>
        <w:rPr>
          <w:rFonts w:asciiTheme="majorHAnsi" w:hAnsiTheme="majorHAnsi" w:cs="Times New Roman"/>
          <w:strike/>
        </w:rPr>
      </w:pPr>
    </w:p>
    <w:p w14:paraId="2AC66C15" w14:textId="79488A40" w:rsidR="005E4626" w:rsidRDefault="00DA6603" w:rsidP="006E218D">
      <w:pPr>
        <w:pStyle w:val="ListParagraph"/>
        <w:numPr>
          <w:ilvl w:val="0"/>
          <w:numId w:val="4"/>
        </w:numPr>
        <w:rPr>
          <w:rFonts w:asciiTheme="majorHAnsi" w:hAnsiTheme="majorHAnsi" w:cs="Times New Roman"/>
          <w:b/>
        </w:rPr>
      </w:pPr>
      <w:r w:rsidRPr="00D87414">
        <w:rPr>
          <w:rFonts w:asciiTheme="majorHAnsi" w:hAnsiTheme="majorHAnsi" w:cs="Times New Roman"/>
          <w:b/>
        </w:rPr>
        <w:t>Your school</w:t>
      </w:r>
      <w:r w:rsidR="005E4626" w:rsidRPr="00D87414">
        <w:rPr>
          <w:rFonts w:asciiTheme="majorHAnsi" w:hAnsiTheme="majorHAnsi" w:cs="Times New Roman"/>
          <w:b/>
        </w:rPr>
        <w:t xml:space="preserve"> is used by students, teachers, other employees, your parents and the public.  What steps are </w:t>
      </w:r>
      <w:r w:rsidR="00A732BE" w:rsidRPr="00D87414">
        <w:rPr>
          <w:rFonts w:asciiTheme="majorHAnsi" w:hAnsiTheme="majorHAnsi" w:cs="Times New Roman"/>
          <w:b/>
        </w:rPr>
        <w:t>taken to</w:t>
      </w:r>
      <w:r w:rsidR="005E4626" w:rsidRPr="00D87414">
        <w:rPr>
          <w:rFonts w:asciiTheme="majorHAnsi" w:hAnsiTheme="majorHAnsi" w:cs="Times New Roman"/>
          <w:b/>
        </w:rPr>
        <w:t xml:space="preserve"> prevent accidents and to ensure that the building and grounds </w:t>
      </w:r>
      <w:r w:rsidRPr="00D87414">
        <w:rPr>
          <w:rFonts w:asciiTheme="majorHAnsi" w:hAnsiTheme="majorHAnsi" w:cs="Times New Roman"/>
          <w:b/>
        </w:rPr>
        <w:t>are healthy</w:t>
      </w:r>
      <w:r w:rsidR="005E4626" w:rsidRPr="00D87414">
        <w:rPr>
          <w:rFonts w:asciiTheme="majorHAnsi" w:hAnsiTheme="majorHAnsi" w:cs="Times New Roman"/>
          <w:b/>
        </w:rPr>
        <w:t xml:space="preserve"> and safe? </w:t>
      </w:r>
      <w:r>
        <w:rPr>
          <w:rFonts w:asciiTheme="majorHAnsi" w:hAnsiTheme="majorHAnsi" w:cs="Times New Roman"/>
          <w:b/>
        </w:rPr>
        <w:t xml:space="preserve">What steps are taken </w:t>
      </w:r>
      <w:r w:rsidRPr="00D87414">
        <w:rPr>
          <w:rFonts w:asciiTheme="majorHAnsi" w:hAnsiTheme="majorHAnsi" w:cs="Times New Roman"/>
          <w:b/>
        </w:rPr>
        <w:t>to</w:t>
      </w:r>
      <w:r w:rsidR="005E4626" w:rsidRPr="00D87414">
        <w:rPr>
          <w:rFonts w:asciiTheme="majorHAnsi" w:hAnsiTheme="majorHAnsi" w:cs="Times New Roman"/>
          <w:b/>
        </w:rPr>
        <w:t xml:space="preserve"> ensure that unwanted people don’t come into the building? </w:t>
      </w:r>
    </w:p>
    <w:p w14:paraId="60EA42F1" w14:textId="77777777" w:rsidR="00CB2F75" w:rsidRPr="006E218D" w:rsidRDefault="00CB2F75" w:rsidP="00CB2F75">
      <w:pPr>
        <w:pStyle w:val="ListParagraph"/>
        <w:ind w:left="502"/>
        <w:rPr>
          <w:rFonts w:asciiTheme="majorHAnsi" w:hAnsiTheme="majorHAnsi" w:cs="Times New Roman"/>
          <w:b/>
        </w:rPr>
      </w:pPr>
    </w:p>
    <w:p w14:paraId="192D23B8" w14:textId="539583D8" w:rsidR="005E4626" w:rsidRPr="00DA6603" w:rsidRDefault="00DA6603" w:rsidP="00DA6603">
      <w:pPr>
        <w:pStyle w:val="ListParagraph"/>
        <w:ind w:left="540"/>
        <w:rPr>
          <w:rFonts w:asciiTheme="majorHAnsi" w:hAnsiTheme="majorHAnsi" w:cs="Times New Roman"/>
        </w:rPr>
      </w:pPr>
      <w:r w:rsidRPr="00DA6603">
        <w:rPr>
          <w:rFonts w:asciiTheme="majorHAnsi" w:hAnsiTheme="majorHAnsi" w:cs="Times New Roman"/>
        </w:rPr>
        <w:t>Answer</w:t>
      </w:r>
      <w:r>
        <w:rPr>
          <w:rFonts w:asciiTheme="majorHAnsi" w:hAnsiTheme="majorHAnsi" w:cs="Times New Roman"/>
          <w:b/>
        </w:rPr>
        <w:t xml:space="preserve">: </w:t>
      </w:r>
      <w:hyperlink r:id="rId8" w:history="1">
        <w:r w:rsidRPr="003E5F85">
          <w:rPr>
            <w:rStyle w:val="Hyperlink"/>
            <w:rFonts w:asciiTheme="majorHAnsi" w:hAnsiTheme="majorHAnsi" w:cs="Times New Roman"/>
          </w:rPr>
          <w:t>The</w:t>
        </w:r>
        <w:r w:rsidRPr="003E5F85">
          <w:rPr>
            <w:rStyle w:val="Hyperlink"/>
            <w:rFonts w:asciiTheme="majorHAnsi" w:hAnsiTheme="majorHAnsi" w:cs="Times New Roman"/>
            <w:b/>
          </w:rPr>
          <w:t xml:space="preserve">  </w:t>
        </w:r>
        <w:r w:rsidR="005E4626" w:rsidRPr="003E5F85">
          <w:rPr>
            <w:rStyle w:val="Hyperlink"/>
            <w:rFonts w:asciiTheme="majorHAnsi" w:hAnsiTheme="majorHAnsi" w:cs="Times New Roman"/>
            <w:b/>
          </w:rPr>
          <w:t>BC Healthy School Initiative/Vancouver Coastal Health Authority School Inspection Guideline</w:t>
        </w:r>
      </w:hyperlink>
      <w:r w:rsidR="005E4626" w:rsidRPr="003E5F85">
        <w:rPr>
          <w:rFonts w:asciiTheme="majorHAnsi" w:hAnsiTheme="majorHAnsi" w:cs="Times New Roman"/>
        </w:rPr>
        <w:t xml:space="preserve"> </w:t>
      </w:r>
      <w:r>
        <w:rPr>
          <w:rFonts w:asciiTheme="majorHAnsi" w:hAnsiTheme="majorHAnsi" w:cs="Times New Roman"/>
          <w:u w:val="single"/>
        </w:rPr>
        <w:t xml:space="preserve"> </w:t>
      </w:r>
      <w:r>
        <w:rPr>
          <w:rFonts w:asciiTheme="majorHAnsi" w:hAnsiTheme="majorHAnsi" w:cs="Times New Roman"/>
          <w:b/>
        </w:rPr>
        <w:t xml:space="preserve"> </w:t>
      </w:r>
      <w:r w:rsidRPr="00DA6603">
        <w:rPr>
          <w:rFonts w:asciiTheme="majorHAnsi" w:hAnsiTheme="majorHAnsi" w:cs="Times New Roman"/>
        </w:rPr>
        <w:t>provides for school</w:t>
      </w:r>
      <w:r w:rsidR="005E4626" w:rsidRPr="00DA6603">
        <w:rPr>
          <w:rFonts w:asciiTheme="majorHAnsi" w:hAnsiTheme="majorHAnsi" w:cs="Times New Roman"/>
        </w:rPr>
        <w:t xml:space="preserve"> Inspections from the perspective of students: food services, communicable disease control, water supply, temperature, washrooms and change rooms, labs (handling of chemicals), exhaust ventilator, personal protective and safety equipment, indoor air quality, buildings and grounds, etc. Locate </w:t>
      </w:r>
      <w:r w:rsidRPr="00DA6603">
        <w:rPr>
          <w:rFonts w:asciiTheme="majorHAnsi" w:hAnsiTheme="majorHAnsi" w:cs="Times New Roman"/>
        </w:rPr>
        <w:t>the Regional</w:t>
      </w:r>
      <w:r w:rsidR="005E4626" w:rsidRPr="00DA6603">
        <w:rPr>
          <w:rFonts w:asciiTheme="majorHAnsi" w:hAnsiTheme="majorHAnsi" w:cs="Times New Roman"/>
        </w:rPr>
        <w:t xml:space="preserve"> Health </w:t>
      </w:r>
      <w:r w:rsidRPr="00DA6603">
        <w:rPr>
          <w:rFonts w:asciiTheme="majorHAnsi" w:hAnsiTheme="majorHAnsi" w:cs="Times New Roman"/>
        </w:rPr>
        <w:t>Authority</w:t>
      </w:r>
      <w:r w:rsidR="005E4626" w:rsidRPr="00DA6603">
        <w:rPr>
          <w:rFonts w:asciiTheme="majorHAnsi" w:hAnsiTheme="majorHAnsi" w:cs="Times New Roman"/>
        </w:rPr>
        <w:t xml:space="preserve"> Inspection Guideline document that applies to your school. </w:t>
      </w:r>
    </w:p>
    <w:p w14:paraId="73C00542" w14:textId="77777777" w:rsidR="005E4626" w:rsidRPr="00D87414" w:rsidRDefault="005E4626" w:rsidP="005E4626">
      <w:pPr>
        <w:pStyle w:val="ListParagraph"/>
        <w:ind w:left="1080"/>
        <w:rPr>
          <w:rFonts w:asciiTheme="majorHAnsi" w:hAnsiTheme="majorHAnsi" w:cs="Times New Roman"/>
        </w:rPr>
      </w:pPr>
    </w:p>
    <w:p w14:paraId="2896B6C1" w14:textId="6358562E" w:rsidR="00F23B23" w:rsidRPr="00F23B23" w:rsidRDefault="00A732BE" w:rsidP="00F23B23">
      <w:pPr>
        <w:pStyle w:val="ListParagraph"/>
        <w:ind w:left="540"/>
        <w:rPr>
          <w:rFonts w:asciiTheme="majorHAnsi" w:hAnsiTheme="majorHAnsi" w:cs="Times New Roman"/>
        </w:rPr>
      </w:pPr>
      <w:r w:rsidRPr="00DA6603">
        <w:rPr>
          <w:rFonts w:asciiTheme="majorHAnsi" w:hAnsiTheme="majorHAnsi" w:cs="Times New Roman"/>
        </w:rPr>
        <w:t>WorkSafe</w:t>
      </w:r>
      <w:r w:rsidR="005E4626" w:rsidRPr="00DA6603">
        <w:rPr>
          <w:rFonts w:asciiTheme="majorHAnsi" w:hAnsiTheme="majorHAnsi" w:cs="Times New Roman"/>
        </w:rPr>
        <w:t xml:space="preserve"> BC/BCTF Workplace Inspections</w:t>
      </w:r>
      <w:r w:rsidR="00DA6603">
        <w:rPr>
          <w:rFonts w:asciiTheme="majorHAnsi" w:hAnsiTheme="majorHAnsi" w:cs="Times New Roman"/>
        </w:rPr>
        <w:t xml:space="preserve"> provide support and direction for safe schools. G</w:t>
      </w:r>
      <w:r w:rsidR="005E4626" w:rsidRPr="00DA6603">
        <w:rPr>
          <w:rFonts w:asciiTheme="majorHAnsi" w:hAnsiTheme="majorHAnsi"/>
        </w:rPr>
        <w:t xml:space="preserve">o to </w:t>
      </w:r>
      <w:r w:rsidR="002368DE">
        <w:rPr>
          <w:rFonts w:asciiTheme="majorHAnsi" w:hAnsiTheme="majorHAnsi"/>
        </w:rPr>
        <w:t xml:space="preserve">WorkSafe web </w:t>
      </w:r>
      <w:r w:rsidR="004C29C6">
        <w:rPr>
          <w:rFonts w:asciiTheme="majorHAnsi" w:hAnsiTheme="majorHAnsi"/>
        </w:rPr>
        <w:t xml:space="preserve">for their information </w:t>
      </w:r>
      <w:r w:rsidR="004C29C6" w:rsidRPr="00DA6603">
        <w:rPr>
          <w:rFonts w:asciiTheme="majorHAnsi" w:hAnsiTheme="majorHAnsi"/>
        </w:rPr>
        <w:t>and</w:t>
      </w:r>
      <w:r w:rsidR="00DA6603">
        <w:rPr>
          <w:rFonts w:asciiTheme="majorHAnsi" w:hAnsiTheme="majorHAnsi"/>
        </w:rPr>
        <w:t xml:space="preserve"> </w:t>
      </w:r>
      <w:r w:rsidR="004C29C6">
        <w:rPr>
          <w:rFonts w:asciiTheme="majorHAnsi" w:hAnsiTheme="majorHAnsi"/>
        </w:rPr>
        <w:t xml:space="preserve">search for the </w:t>
      </w:r>
      <w:hyperlink r:id="rId9" w:history="1">
        <w:r w:rsidR="004C29C6" w:rsidRPr="002368DE">
          <w:rPr>
            <w:rStyle w:val="Hyperlink"/>
            <w:rFonts w:asciiTheme="majorHAnsi" w:hAnsiTheme="majorHAnsi"/>
          </w:rPr>
          <w:t xml:space="preserve">BCTF Health and Safety </w:t>
        </w:r>
        <w:r w:rsidR="00AA3F37" w:rsidRPr="002368DE">
          <w:rPr>
            <w:rStyle w:val="Hyperlink"/>
            <w:rFonts w:asciiTheme="majorHAnsi" w:hAnsiTheme="majorHAnsi"/>
          </w:rPr>
          <w:t>Manual</w:t>
        </w:r>
      </w:hyperlink>
      <w:r w:rsidR="00AA3F37">
        <w:rPr>
          <w:rFonts w:asciiTheme="majorHAnsi" w:hAnsiTheme="majorHAnsi"/>
        </w:rPr>
        <w:t xml:space="preserve"> at</w:t>
      </w:r>
      <w:r w:rsidR="004C29C6">
        <w:rPr>
          <w:rFonts w:asciiTheme="majorHAnsi" w:hAnsiTheme="majorHAnsi"/>
        </w:rPr>
        <w:t xml:space="preserve"> </w:t>
      </w:r>
      <w:r w:rsidR="002368DE">
        <w:rPr>
          <w:rFonts w:asciiTheme="majorHAnsi" w:hAnsiTheme="majorHAnsi"/>
        </w:rPr>
        <w:t xml:space="preserve">on the BCTF website </w:t>
      </w:r>
      <w:r w:rsidR="00F23B23">
        <w:rPr>
          <w:rFonts w:asciiTheme="majorHAnsi" w:hAnsiTheme="majorHAnsi"/>
        </w:rPr>
        <w:t xml:space="preserve">and </w:t>
      </w:r>
      <w:r w:rsidR="00F23B23" w:rsidRPr="00DA6603">
        <w:rPr>
          <w:rFonts w:asciiTheme="majorHAnsi" w:hAnsiTheme="majorHAnsi"/>
        </w:rPr>
        <w:t>locate</w:t>
      </w:r>
      <w:r w:rsidR="005E4626" w:rsidRPr="00DA6603">
        <w:rPr>
          <w:rFonts w:asciiTheme="majorHAnsi" w:hAnsiTheme="majorHAnsi"/>
        </w:rPr>
        <w:t xml:space="preserve"> the requirements for the conducting workplace health and safety inspections</w:t>
      </w:r>
      <w:r w:rsidR="00DA6603">
        <w:rPr>
          <w:rFonts w:asciiTheme="majorHAnsi" w:hAnsiTheme="majorHAnsi"/>
        </w:rPr>
        <w:t xml:space="preserve"> in your school</w:t>
      </w:r>
      <w:r w:rsidR="00F23B23">
        <w:rPr>
          <w:rFonts w:asciiTheme="majorHAnsi" w:hAnsiTheme="majorHAnsi"/>
        </w:rPr>
        <w:t xml:space="preserve">.  </w:t>
      </w:r>
      <w:r w:rsidR="002368DE">
        <w:rPr>
          <w:rFonts w:asciiTheme="majorHAnsi" w:hAnsiTheme="majorHAnsi"/>
        </w:rPr>
        <w:t xml:space="preserve">The </w:t>
      </w:r>
      <w:hyperlink r:id="rId10" w:history="1">
        <w:r w:rsidR="002368DE" w:rsidRPr="00CB2F75">
          <w:rPr>
            <w:rStyle w:val="Hyperlink"/>
            <w:rFonts w:asciiTheme="majorHAnsi" w:hAnsiTheme="majorHAnsi"/>
          </w:rPr>
          <w:t>BC Public Schools Employers’ Association</w:t>
        </w:r>
      </w:hyperlink>
      <w:r w:rsidR="002368DE">
        <w:rPr>
          <w:rFonts w:asciiTheme="majorHAnsi" w:hAnsiTheme="majorHAnsi"/>
        </w:rPr>
        <w:t xml:space="preserve"> also have</w:t>
      </w:r>
      <w:r w:rsidR="00CB2F75">
        <w:rPr>
          <w:rFonts w:asciiTheme="majorHAnsi" w:hAnsiTheme="majorHAnsi"/>
        </w:rPr>
        <w:t xml:space="preserve"> resources on their website dealing with a range of health and safety topics. </w:t>
      </w:r>
      <w:r w:rsidR="002368DE" w:rsidRPr="00F23B23">
        <w:rPr>
          <w:rFonts w:asciiTheme="majorHAnsi" w:hAnsiTheme="majorHAnsi" w:cs="Times New Roman"/>
        </w:rPr>
        <w:t xml:space="preserve"> </w:t>
      </w:r>
    </w:p>
    <w:p w14:paraId="38EDD4AB" w14:textId="77777777" w:rsidR="005E4626" w:rsidRPr="00F23B23" w:rsidRDefault="005E4626" w:rsidP="00F23B23">
      <w:pPr>
        <w:pStyle w:val="ListParagraph"/>
        <w:ind w:left="540"/>
        <w:rPr>
          <w:rFonts w:asciiTheme="majorHAnsi" w:hAnsiTheme="majorHAnsi" w:cs="Times New Roman"/>
          <w:b/>
          <w:u w:val="single"/>
        </w:rPr>
      </w:pPr>
    </w:p>
    <w:p w14:paraId="170473B3" w14:textId="5E7443B1" w:rsidR="00D52FD3" w:rsidRPr="00D52FD3" w:rsidRDefault="005E4626" w:rsidP="003A47B0">
      <w:pPr>
        <w:pStyle w:val="ListParagraph"/>
        <w:numPr>
          <w:ilvl w:val="0"/>
          <w:numId w:val="4"/>
        </w:numPr>
        <w:rPr>
          <w:rFonts w:asciiTheme="majorHAnsi" w:hAnsiTheme="majorHAnsi" w:cs="Times New Roman"/>
        </w:rPr>
      </w:pPr>
      <w:r w:rsidRPr="00D87414">
        <w:rPr>
          <w:rFonts w:asciiTheme="majorHAnsi" w:hAnsiTheme="majorHAnsi" w:cs="Times New Roman"/>
          <w:b/>
        </w:rPr>
        <w:t>Where negligence can be shown arising from an accident, what remedies are available to parents, teachers, other employees, members of the public?</w:t>
      </w:r>
      <w:r w:rsidRPr="00D87414">
        <w:rPr>
          <w:rFonts w:asciiTheme="majorHAnsi" w:hAnsiTheme="majorHAnsi" w:cs="Times New Roman"/>
        </w:rPr>
        <w:t xml:space="preserve">  (Answer: civil lawsuits for injury or death, </w:t>
      </w:r>
      <w:r w:rsidRPr="00D87414">
        <w:rPr>
          <w:rFonts w:asciiTheme="majorHAnsi" w:hAnsiTheme="majorHAnsi"/>
        </w:rPr>
        <w:t xml:space="preserve">if an injured person proves that another person acted negligently to cause </w:t>
      </w:r>
      <w:r w:rsidRPr="00D87414">
        <w:rPr>
          <w:rFonts w:asciiTheme="majorHAnsi" w:hAnsiTheme="majorHAnsi"/>
        </w:rPr>
        <w:lastRenderedPageBreak/>
        <w:t xml:space="preserve">their injury, they can recover damages to compensate for their harm.  A worker injured in the course of employment </w:t>
      </w:r>
      <w:r w:rsidRPr="003516B1">
        <w:rPr>
          <w:rStyle w:val="Emphasis"/>
          <w:rFonts w:asciiTheme="majorHAnsi" w:hAnsiTheme="majorHAnsi"/>
          <w:b/>
          <w:bCs/>
        </w:rPr>
        <w:t>cannot</w:t>
      </w:r>
      <w:r w:rsidRPr="003516B1">
        <w:rPr>
          <w:rFonts w:asciiTheme="majorHAnsi" w:hAnsiTheme="majorHAnsi"/>
          <w:b/>
          <w:bCs/>
        </w:rPr>
        <w:t xml:space="preserve"> </w:t>
      </w:r>
      <w:r w:rsidR="007827A0">
        <w:rPr>
          <w:rFonts w:asciiTheme="majorHAnsi" w:hAnsiTheme="majorHAnsi"/>
          <w:b/>
          <w:bCs/>
        </w:rPr>
        <w:t>*</w:t>
      </w:r>
      <w:r w:rsidRPr="00D87414">
        <w:rPr>
          <w:rFonts w:asciiTheme="majorHAnsi" w:hAnsiTheme="majorHAnsi"/>
        </w:rPr>
        <w:t xml:space="preserve">sue his or her employer, any other employer, or any worker who is a part of the B.C. workers’ compensation system and whose activities relating to the accident or disease also arose out of and in the course of employment. The </w:t>
      </w:r>
      <w:r w:rsidRPr="00D87414">
        <w:rPr>
          <w:rStyle w:val="Emphasis"/>
          <w:rFonts w:asciiTheme="majorHAnsi" w:hAnsiTheme="majorHAnsi"/>
        </w:rPr>
        <w:t>Workers Compensation Act</w:t>
      </w:r>
      <w:r w:rsidRPr="00D87414">
        <w:rPr>
          <w:rFonts w:asciiTheme="majorHAnsi" w:hAnsiTheme="majorHAnsi"/>
        </w:rPr>
        <w:t xml:space="preserve"> replaces lawsuits against employers and workers in a British Columbia workplace for injury, disease, or death caused to a worker acting in the course of employment. Compensation is provided without needing to establish that someone else was at fault for the </w:t>
      </w:r>
      <w:proofErr w:type="gramStart"/>
      <w:r w:rsidRPr="00D87414">
        <w:rPr>
          <w:rFonts w:asciiTheme="majorHAnsi" w:hAnsiTheme="majorHAnsi"/>
        </w:rPr>
        <w:t>accident.</w:t>
      </w:r>
      <w:r w:rsidR="00CB2F75">
        <w:rPr>
          <w:rFonts w:asciiTheme="majorHAnsi" w:hAnsiTheme="majorHAnsi"/>
        </w:rPr>
        <w:t>*</w:t>
      </w:r>
      <w:proofErr w:type="gramEnd"/>
      <w:r w:rsidR="003516B1">
        <w:rPr>
          <w:rFonts w:asciiTheme="majorHAnsi" w:hAnsiTheme="majorHAnsi"/>
        </w:rPr>
        <w:t>*</w:t>
      </w:r>
    </w:p>
    <w:p w14:paraId="20D749C2" w14:textId="77777777" w:rsidR="00D52FD3" w:rsidRDefault="00D52FD3" w:rsidP="00D52FD3">
      <w:pPr>
        <w:pStyle w:val="ListParagraph"/>
        <w:ind w:left="502"/>
        <w:rPr>
          <w:rFonts w:asciiTheme="majorHAnsi" w:hAnsiTheme="majorHAnsi"/>
          <w:i/>
        </w:rPr>
      </w:pPr>
    </w:p>
    <w:p w14:paraId="7E3565FF" w14:textId="708B9430" w:rsidR="005E4626" w:rsidRDefault="005E4626" w:rsidP="00D52FD3">
      <w:pPr>
        <w:pStyle w:val="ListParagraph"/>
        <w:ind w:left="502"/>
        <w:rPr>
          <w:rFonts w:asciiTheme="majorHAnsi" w:hAnsiTheme="majorHAnsi"/>
          <w:i/>
        </w:rPr>
      </w:pPr>
      <w:r w:rsidRPr="00D52FD3">
        <w:rPr>
          <w:rFonts w:asciiTheme="majorHAnsi" w:hAnsiTheme="majorHAnsi"/>
          <w:i/>
        </w:rPr>
        <w:t xml:space="preserve">See </w:t>
      </w:r>
      <w:hyperlink r:id="rId11" w:history="1">
        <w:proofErr w:type="spellStart"/>
        <w:r w:rsidRPr="005F5372">
          <w:rPr>
            <w:rStyle w:val="Hyperlink"/>
            <w:rFonts w:asciiTheme="majorHAnsi" w:hAnsiTheme="majorHAnsi"/>
            <w:i/>
          </w:rPr>
          <w:t>WorkSafeBC</w:t>
        </w:r>
        <w:proofErr w:type="spellEnd"/>
        <w:r w:rsidRPr="005F5372">
          <w:rPr>
            <w:rStyle w:val="Hyperlink"/>
            <w:rFonts w:asciiTheme="majorHAnsi" w:hAnsiTheme="majorHAnsi"/>
            <w:i/>
          </w:rPr>
          <w:t xml:space="preserve"> </w:t>
        </w:r>
      </w:hyperlink>
      <w:r w:rsidRPr="00D52FD3">
        <w:rPr>
          <w:rFonts w:asciiTheme="majorHAnsi" w:hAnsiTheme="majorHAnsi"/>
          <w:i/>
        </w:rPr>
        <w:t>for further details</w:t>
      </w:r>
    </w:p>
    <w:p w14:paraId="72AEAD9E" w14:textId="33D0595B" w:rsidR="003516B1" w:rsidRPr="003516B1" w:rsidRDefault="003516B1" w:rsidP="003516B1">
      <w:pPr>
        <w:pStyle w:val="ListParagraph"/>
        <w:ind w:left="502"/>
        <w:rPr>
          <w:rFonts w:asciiTheme="majorHAnsi" w:hAnsiTheme="majorHAnsi"/>
          <w:iCs/>
        </w:rPr>
      </w:pPr>
      <w:r>
        <w:rPr>
          <w:rFonts w:asciiTheme="majorHAnsi" w:hAnsiTheme="majorHAnsi"/>
          <w:iCs/>
        </w:rPr>
        <w:t>*</w:t>
      </w:r>
      <w:r w:rsidRPr="003516B1">
        <w:t xml:space="preserve"> </w:t>
      </w:r>
      <w:r w:rsidRPr="003516B1">
        <w:rPr>
          <w:rFonts w:asciiTheme="majorHAnsi" w:hAnsiTheme="majorHAnsi"/>
          <w:iCs/>
        </w:rPr>
        <w:t>Key policies applicable to these sections of the WCA are RSCM II, Chapter 16, #110.00–</w:t>
      </w:r>
    </w:p>
    <w:p w14:paraId="32477691" w14:textId="77777777" w:rsidR="003516B1" w:rsidRPr="003516B1" w:rsidRDefault="003516B1" w:rsidP="003516B1">
      <w:pPr>
        <w:pStyle w:val="ListParagraph"/>
        <w:ind w:left="502"/>
        <w:rPr>
          <w:rFonts w:asciiTheme="majorHAnsi" w:hAnsiTheme="majorHAnsi"/>
          <w:iCs/>
        </w:rPr>
      </w:pPr>
      <w:r w:rsidRPr="003516B1">
        <w:rPr>
          <w:rFonts w:asciiTheme="majorHAnsi" w:hAnsiTheme="majorHAnsi"/>
          <w:iCs/>
        </w:rPr>
        <w:t>112.40.</w:t>
      </w:r>
    </w:p>
    <w:p w14:paraId="7A9C6F5D" w14:textId="750C09D2" w:rsidR="003516B1" w:rsidRPr="003F48EA" w:rsidRDefault="003F48EA" w:rsidP="003516B1">
      <w:pPr>
        <w:pStyle w:val="ListParagraph"/>
        <w:ind w:left="502"/>
        <w:rPr>
          <w:rStyle w:val="Hyperlink"/>
          <w:rFonts w:asciiTheme="majorHAnsi" w:hAnsiTheme="majorHAnsi"/>
          <w:iCs/>
        </w:rPr>
      </w:pPr>
      <w:r>
        <w:rPr>
          <w:rFonts w:asciiTheme="majorHAnsi" w:hAnsiTheme="majorHAnsi"/>
          <w:iCs/>
        </w:rPr>
        <w:fldChar w:fldCharType="begin"/>
      </w:r>
      <w:r w:rsidR="005F5372">
        <w:rPr>
          <w:rFonts w:asciiTheme="majorHAnsi" w:hAnsiTheme="majorHAnsi"/>
          <w:iCs/>
        </w:rPr>
        <w:instrText>HYPERLINK "https://www.lslap.bc.ca/uploads/2/9/3/5/29358111/07_-_workers_compensation.pdf"</w:instrText>
      </w:r>
      <w:r>
        <w:rPr>
          <w:rFonts w:asciiTheme="majorHAnsi" w:hAnsiTheme="majorHAnsi"/>
          <w:iCs/>
        </w:rPr>
      </w:r>
      <w:r>
        <w:rPr>
          <w:rFonts w:asciiTheme="majorHAnsi" w:hAnsiTheme="majorHAnsi"/>
          <w:iCs/>
        </w:rPr>
        <w:fldChar w:fldCharType="separate"/>
      </w:r>
      <w:r w:rsidR="003516B1" w:rsidRPr="003F48EA">
        <w:rPr>
          <w:rStyle w:val="Hyperlink"/>
          <w:rFonts w:asciiTheme="majorHAnsi" w:hAnsiTheme="majorHAnsi"/>
          <w:iCs/>
        </w:rPr>
        <w:t xml:space="preserve">Generally, a worker has no right to sue an employer or another worker in the course of </w:t>
      </w:r>
      <w:proofErr w:type="gramStart"/>
      <w:r w:rsidR="003516B1" w:rsidRPr="003F48EA">
        <w:rPr>
          <w:rStyle w:val="Hyperlink"/>
          <w:rFonts w:asciiTheme="majorHAnsi" w:hAnsiTheme="majorHAnsi"/>
          <w:iCs/>
        </w:rPr>
        <w:t>their</w:t>
      </w:r>
      <w:proofErr w:type="gramEnd"/>
    </w:p>
    <w:p w14:paraId="5E69490E" w14:textId="09D44BA1" w:rsidR="003516B1" w:rsidRPr="003516B1" w:rsidRDefault="003516B1" w:rsidP="003516B1">
      <w:pPr>
        <w:pStyle w:val="ListParagraph"/>
        <w:ind w:left="502"/>
        <w:rPr>
          <w:rFonts w:asciiTheme="majorHAnsi" w:hAnsiTheme="majorHAnsi"/>
          <w:iCs/>
        </w:rPr>
      </w:pPr>
      <w:r w:rsidRPr="003F48EA">
        <w:rPr>
          <w:rStyle w:val="Hyperlink"/>
          <w:rFonts w:asciiTheme="majorHAnsi" w:hAnsiTheme="majorHAnsi"/>
          <w:iCs/>
        </w:rPr>
        <w:t>employment for a workplace injury.</w:t>
      </w:r>
      <w:r w:rsidR="003F48EA">
        <w:rPr>
          <w:rFonts w:asciiTheme="majorHAnsi" w:hAnsiTheme="majorHAnsi"/>
          <w:iCs/>
        </w:rPr>
        <w:fldChar w:fldCharType="end"/>
      </w:r>
      <w:r w:rsidRPr="003516B1">
        <w:rPr>
          <w:rFonts w:asciiTheme="majorHAnsi" w:hAnsiTheme="majorHAnsi"/>
          <w:iCs/>
        </w:rPr>
        <w:t xml:space="preserve"> Instead, they are entitled to benefits from the Board.</w:t>
      </w:r>
    </w:p>
    <w:p w14:paraId="08248B1C" w14:textId="77777777" w:rsidR="003516B1" w:rsidRPr="003516B1" w:rsidRDefault="003516B1" w:rsidP="003516B1">
      <w:pPr>
        <w:pStyle w:val="ListParagraph"/>
        <w:ind w:left="502"/>
        <w:rPr>
          <w:rFonts w:asciiTheme="majorHAnsi" w:hAnsiTheme="majorHAnsi"/>
          <w:iCs/>
        </w:rPr>
      </w:pPr>
      <w:r w:rsidRPr="003516B1">
        <w:rPr>
          <w:rFonts w:asciiTheme="majorHAnsi" w:hAnsiTheme="majorHAnsi"/>
          <w:iCs/>
        </w:rPr>
        <w:t>This is the “Historic Trade Off” discussed above and set out at s. 127 of the WCA [Former</w:t>
      </w:r>
    </w:p>
    <w:p w14:paraId="7CF96FA9" w14:textId="77777777" w:rsidR="003516B1" w:rsidRPr="003516B1" w:rsidRDefault="003516B1" w:rsidP="003516B1">
      <w:pPr>
        <w:pStyle w:val="ListParagraph"/>
        <w:ind w:left="502"/>
        <w:rPr>
          <w:rFonts w:asciiTheme="majorHAnsi" w:hAnsiTheme="majorHAnsi"/>
          <w:iCs/>
        </w:rPr>
      </w:pPr>
      <w:r w:rsidRPr="003516B1">
        <w:rPr>
          <w:rFonts w:asciiTheme="majorHAnsi" w:hAnsiTheme="majorHAnsi"/>
          <w:iCs/>
        </w:rPr>
        <w:t>Act, s. 10(1)]. Note that the conduct causing the injury must arise out of and in the course of</w:t>
      </w:r>
    </w:p>
    <w:p w14:paraId="083D92F8" w14:textId="77777777" w:rsidR="003516B1" w:rsidRPr="003516B1" w:rsidRDefault="003516B1" w:rsidP="003516B1">
      <w:pPr>
        <w:pStyle w:val="ListParagraph"/>
        <w:ind w:left="502"/>
        <w:rPr>
          <w:rFonts w:asciiTheme="majorHAnsi" w:hAnsiTheme="majorHAnsi"/>
          <w:iCs/>
        </w:rPr>
      </w:pPr>
      <w:r w:rsidRPr="003516B1">
        <w:rPr>
          <w:rFonts w:asciiTheme="majorHAnsi" w:hAnsiTheme="majorHAnsi"/>
          <w:iCs/>
        </w:rPr>
        <w:t>employment before this bar against litigation will apply. Actions outside of the course of</w:t>
      </w:r>
    </w:p>
    <w:p w14:paraId="3D3BEF36" w14:textId="77777777" w:rsidR="003516B1" w:rsidRPr="003516B1" w:rsidRDefault="003516B1" w:rsidP="003516B1">
      <w:pPr>
        <w:pStyle w:val="ListParagraph"/>
        <w:ind w:left="502"/>
        <w:rPr>
          <w:rFonts w:asciiTheme="majorHAnsi" w:hAnsiTheme="majorHAnsi"/>
          <w:iCs/>
        </w:rPr>
      </w:pPr>
      <w:r w:rsidRPr="003516B1">
        <w:rPr>
          <w:rFonts w:asciiTheme="majorHAnsi" w:hAnsiTheme="majorHAnsi"/>
          <w:iCs/>
        </w:rPr>
        <w:t xml:space="preserve">employment (for example, assault or criminal negligence) </w:t>
      </w:r>
      <w:proofErr w:type="gramStart"/>
      <w:r w:rsidRPr="003516B1">
        <w:rPr>
          <w:rFonts w:asciiTheme="majorHAnsi" w:hAnsiTheme="majorHAnsi"/>
          <w:iCs/>
        </w:rPr>
        <w:t>do</w:t>
      </w:r>
      <w:proofErr w:type="gramEnd"/>
      <w:r w:rsidRPr="003516B1">
        <w:rPr>
          <w:rFonts w:asciiTheme="majorHAnsi" w:hAnsiTheme="majorHAnsi"/>
          <w:iCs/>
        </w:rPr>
        <w:t xml:space="preserve"> not attract this bar against</w:t>
      </w:r>
    </w:p>
    <w:p w14:paraId="253BBC6A" w14:textId="3F54D085" w:rsidR="003516B1" w:rsidRDefault="003516B1" w:rsidP="003516B1">
      <w:pPr>
        <w:pStyle w:val="ListParagraph"/>
        <w:ind w:left="502"/>
        <w:rPr>
          <w:rFonts w:asciiTheme="majorHAnsi" w:hAnsiTheme="majorHAnsi"/>
          <w:iCs/>
        </w:rPr>
      </w:pPr>
      <w:r w:rsidRPr="003516B1">
        <w:rPr>
          <w:rFonts w:asciiTheme="majorHAnsi" w:hAnsiTheme="majorHAnsi"/>
          <w:iCs/>
        </w:rPr>
        <w:t>litigation.</w:t>
      </w:r>
    </w:p>
    <w:p w14:paraId="51E8B2B8" w14:textId="77777777" w:rsidR="003516B1" w:rsidRDefault="003516B1" w:rsidP="00CB2F75">
      <w:pPr>
        <w:pStyle w:val="ListParagraph"/>
        <w:ind w:left="502"/>
        <w:rPr>
          <w:rFonts w:asciiTheme="majorHAnsi" w:hAnsiTheme="majorHAnsi"/>
          <w:iCs/>
        </w:rPr>
      </w:pPr>
    </w:p>
    <w:p w14:paraId="36926B98" w14:textId="7FB806C5" w:rsidR="00CB2F75" w:rsidRPr="00CB2F75" w:rsidRDefault="003516B1" w:rsidP="00CB2F75">
      <w:pPr>
        <w:pStyle w:val="ListParagraph"/>
        <w:ind w:left="502"/>
        <w:rPr>
          <w:rFonts w:asciiTheme="majorHAnsi" w:hAnsiTheme="majorHAnsi"/>
          <w:iCs/>
        </w:rPr>
      </w:pPr>
      <w:r>
        <w:rPr>
          <w:rFonts w:asciiTheme="majorHAnsi" w:hAnsiTheme="majorHAnsi"/>
          <w:iCs/>
        </w:rPr>
        <w:t>*</w:t>
      </w:r>
      <w:r w:rsidR="00CB2F75">
        <w:rPr>
          <w:rFonts w:asciiTheme="majorHAnsi" w:hAnsiTheme="majorHAnsi"/>
          <w:iCs/>
        </w:rPr>
        <w:t>*Note: F</w:t>
      </w:r>
      <w:r w:rsidR="00CB2F75" w:rsidRPr="00CB2F75">
        <w:rPr>
          <w:rFonts w:asciiTheme="majorHAnsi" w:hAnsiTheme="majorHAnsi"/>
          <w:iCs/>
        </w:rPr>
        <w:t>ederal government employees are governed by the Government Employees Compensation</w:t>
      </w:r>
    </w:p>
    <w:p w14:paraId="2A367498" w14:textId="77777777" w:rsidR="00CB2F75" w:rsidRPr="00CB2F75" w:rsidRDefault="00CB2F75" w:rsidP="00CB2F75">
      <w:pPr>
        <w:pStyle w:val="ListParagraph"/>
        <w:ind w:left="502"/>
        <w:rPr>
          <w:rFonts w:asciiTheme="majorHAnsi" w:hAnsiTheme="majorHAnsi"/>
          <w:iCs/>
        </w:rPr>
      </w:pPr>
      <w:r w:rsidRPr="00CB2F75">
        <w:rPr>
          <w:rFonts w:asciiTheme="majorHAnsi" w:hAnsiTheme="majorHAnsi"/>
          <w:iCs/>
        </w:rPr>
        <w:t>Act, RSC 1985, c G-5 which provides that injured federal government workers in a given</w:t>
      </w:r>
    </w:p>
    <w:p w14:paraId="0623C4E9" w14:textId="77777777" w:rsidR="00CB2F75" w:rsidRPr="00CB2F75" w:rsidRDefault="00CB2F75" w:rsidP="00CB2F75">
      <w:pPr>
        <w:pStyle w:val="ListParagraph"/>
        <w:ind w:left="502"/>
        <w:rPr>
          <w:rFonts w:asciiTheme="majorHAnsi" w:hAnsiTheme="majorHAnsi"/>
          <w:iCs/>
        </w:rPr>
      </w:pPr>
      <w:r w:rsidRPr="00CB2F75">
        <w:rPr>
          <w:rFonts w:asciiTheme="majorHAnsi" w:hAnsiTheme="majorHAnsi"/>
          <w:iCs/>
        </w:rPr>
        <w:t xml:space="preserve">province </w:t>
      </w:r>
      <w:proofErr w:type="gramStart"/>
      <w:r w:rsidRPr="00CB2F75">
        <w:rPr>
          <w:rFonts w:asciiTheme="majorHAnsi" w:hAnsiTheme="majorHAnsi"/>
          <w:iCs/>
        </w:rPr>
        <w:t>are</w:t>
      </w:r>
      <w:proofErr w:type="gramEnd"/>
      <w:r w:rsidRPr="00CB2F75">
        <w:rPr>
          <w:rFonts w:asciiTheme="majorHAnsi" w:hAnsiTheme="majorHAnsi"/>
          <w:iCs/>
        </w:rPr>
        <w:t xml:space="preserve"> to have their claims addressed by the provincial administrative body in that</w:t>
      </w:r>
    </w:p>
    <w:p w14:paraId="350B68B8" w14:textId="2545E262" w:rsidR="00CB2F75" w:rsidRPr="00CB2F75" w:rsidRDefault="00CB2F75" w:rsidP="00CB2F75">
      <w:pPr>
        <w:pStyle w:val="ListParagraph"/>
        <w:ind w:left="502"/>
        <w:rPr>
          <w:rFonts w:asciiTheme="majorHAnsi" w:hAnsiTheme="majorHAnsi"/>
          <w:iCs/>
        </w:rPr>
      </w:pPr>
      <w:r w:rsidRPr="00CB2F75">
        <w:rPr>
          <w:rFonts w:asciiTheme="majorHAnsi" w:hAnsiTheme="majorHAnsi"/>
          <w:iCs/>
        </w:rPr>
        <w:t>province.</w:t>
      </w:r>
    </w:p>
    <w:p w14:paraId="08E3FEC1" w14:textId="77777777" w:rsidR="00CB2F75" w:rsidRDefault="00CB2F75" w:rsidP="00D52FD3">
      <w:pPr>
        <w:pStyle w:val="ListParagraph"/>
        <w:ind w:left="502"/>
        <w:rPr>
          <w:rFonts w:asciiTheme="majorHAnsi" w:hAnsiTheme="majorHAnsi"/>
          <w:i/>
        </w:rPr>
      </w:pPr>
    </w:p>
    <w:p w14:paraId="6A93555B" w14:textId="51E2599F" w:rsidR="00F70314" w:rsidRDefault="00F70314" w:rsidP="00F70314">
      <w:pPr>
        <w:pStyle w:val="BodyText"/>
        <w:ind w:left="144"/>
      </w:pPr>
      <w:bookmarkStart w:id="0" w:name="_Hlk190941996"/>
    </w:p>
    <w:bookmarkEnd w:id="0"/>
    <w:p w14:paraId="76FCFCAC" w14:textId="77777777" w:rsidR="00CB2F75" w:rsidRPr="00D52FD3" w:rsidRDefault="00CB2F75" w:rsidP="00D52FD3">
      <w:pPr>
        <w:pStyle w:val="ListParagraph"/>
        <w:ind w:left="502"/>
        <w:rPr>
          <w:rFonts w:asciiTheme="majorHAnsi" w:hAnsiTheme="majorHAnsi" w:cs="Times New Roman"/>
        </w:rPr>
      </w:pPr>
    </w:p>
    <w:sectPr w:rsidR="00CB2F75" w:rsidRPr="00D52FD3" w:rsidSect="0034199A">
      <w:headerReference w:type="default" r:id="rId12"/>
      <w:footerReference w:type="even" r:id="rId13"/>
      <w:footerReference w:type="default" r:id="rId1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EFE399" w14:textId="77777777" w:rsidR="000C4366" w:rsidRDefault="000C4366" w:rsidP="005A3381">
      <w:pPr>
        <w:spacing w:after="0" w:line="240" w:lineRule="auto"/>
      </w:pPr>
      <w:r>
        <w:separator/>
      </w:r>
    </w:p>
  </w:endnote>
  <w:endnote w:type="continuationSeparator" w:id="0">
    <w:p w14:paraId="6EBDEBB1" w14:textId="77777777" w:rsidR="000C4366" w:rsidRDefault="000C4366" w:rsidP="005A3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987500276"/>
      <w:docPartObj>
        <w:docPartGallery w:val="Page Numbers (Bottom of Page)"/>
        <w:docPartUnique/>
      </w:docPartObj>
    </w:sdtPr>
    <w:sdtContent>
      <w:p w14:paraId="6C314DD2" w14:textId="602FBA50" w:rsidR="00FF33A0" w:rsidRDefault="00FF33A0" w:rsidP="00197D6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5384EBB" w14:textId="77777777" w:rsidR="00FF33A0" w:rsidRDefault="00FF33A0" w:rsidP="00FF33A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61A23" w14:textId="389B5A19" w:rsidR="00FF33A0" w:rsidRDefault="00FF33A0" w:rsidP="00197D6F">
    <w:pPr>
      <w:pStyle w:val="Footer"/>
      <w:framePr w:wrap="none" w:vAnchor="text" w:hAnchor="margin" w:xAlign="right" w:y="1"/>
      <w:rPr>
        <w:rStyle w:val="PageNumber"/>
      </w:rPr>
    </w:pPr>
  </w:p>
  <w:p w14:paraId="2AB13C48" w14:textId="03B42EEA" w:rsidR="005A3381" w:rsidRDefault="005F5372" w:rsidP="005F5372">
    <w:pPr>
      <w:pStyle w:val="Footer"/>
      <w:pBdr>
        <w:top w:val="thinThickSmallGap" w:sz="24" w:space="1" w:color="622423" w:themeColor="accent2" w:themeShade="7F"/>
      </w:pBdr>
      <w:ind w:right="360"/>
      <w:jc w:val="center"/>
    </w:pPr>
    <w:r w:rsidRPr="005F5372">
      <w:rPr>
        <w:rFonts w:asciiTheme="majorHAnsi" w:hAnsiTheme="majorHAnsi"/>
        <w:i/>
        <w:iCs/>
        <w:sz w:val="18"/>
        <w:szCs w:val="18"/>
      </w:rPr>
      <w:t>2025/0</w:t>
    </w:r>
    <w:r w:rsidR="00B955DD">
      <w:rPr>
        <w:rFonts w:asciiTheme="majorHAnsi" w:hAnsiTheme="majorHAnsi"/>
        <w:i/>
        <w:iCs/>
        <w:sz w:val="18"/>
        <w:szCs w:val="18"/>
      </w:rPr>
      <w:t>5</w:t>
    </w:r>
    <w:r w:rsidRPr="005F5372">
      <w:rPr>
        <w:rFonts w:asciiTheme="majorHAnsi" w:hAnsiTheme="majorHAnsi"/>
        <w:i/>
        <w:iCs/>
        <w:sz w:val="18"/>
        <w:szCs w:val="18"/>
      </w:rPr>
      <w:t>/</w:t>
    </w:r>
    <w:r w:rsidR="00B955DD">
      <w:rPr>
        <w:rFonts w:asciiTheme="majorHAnsi" w:hAnsiTheme="majorHAnsi"/>
        <w:i/>
        <w:iCs/>
        <w:sz w:val="18"/>
        <w:szCs w:val="18"/>
      </w:rPr>
      <w:t>15</w:t>
    </w:r>
    <w:r>
      <w:rPr>
        <w:rFonts w:asciiTheme="majorHAnsi" w:hAnsiTheme="majorHAnsi"/>
        <w:sz w:val="20"/>
        <w:szCs w:val="20"/>
      </w:rPr>
      <w:tab/>
    </w:r>
    <w:r w:rsidR="005E3009" w:rsidRPr="005F5372">
      <w:rPr>
        <w:rFonts w:asciiTheme="majorHAnsi" w:hAnsiTheme="majorHAnsi"/>
        <w:sz w:val="20"/>
        <w:szCs w:val="20"/>
      </w:rPr>
      <w:t>Labour History Project:</w:t>
    </w:r>
    <w:r w:rsidR="00BB4AB1" w:rsidRPr="005F5372">
      <w:rPr>
        <w:rFonts w:asciiTheme="majorHAnsi" w:hAnsiTheme="majorHAnsi"/>
        <w:sz w:val="20"/>
        <w:szCs w:val="20"/>
      </w:rPr>
      <w:t xml:space="preserve"> A partnership of the Labour </w:t>
    </w:r>
    <w:r w:rsidR="00A069E9" w:rsidRPr="005F5372">
      <w:rPr>
        <w:rFonts w:asciiTheme="majorHAnsi" w:hAnsiTheme="majorHAnsi"/>
        <w:sz w:val="20"/>
        <w:szCs w:val="20"/>
      </w:rPr>
      <w:t>Heritage</w:t>
    </w:r>
    <w:r w:rsidR="005E3009" w:rsidRPr="005F5372">
      <w:rPr>
        <w:rFonts w:asciiTheme="majorHAnsi" w:hAnsiTheme="majorHAnsi"/>
        <w:sz w:val="20"/>
        <w:szCs w:val="20"/>
      </w:rPr>
      <w:t xml:space="preserve"> Centre and the BCTF </w:t>
    </w:r>
    <w:r w:rsidR="005E3009">
      <w:rPr>
        <w:rFonts w:asciiTheme="majorHAnsi" w:hAnsiTheme="majorHAnsi"/>
      </w:rPr>
      <w:ptab w:relativeTo="margin" w:alignment="right" w:leader="none"/>
    </w:r>
    <w:r w:rsidRPr="005F5372">
      <w:rPr>
        <w:rFonts w:asciiTheme="majorHAnsi" w:hAnsiTheme="majorHAnsi"/>
        <w:sz w:val="18"/>
        <w:szCs w:val="18"/>
      </w:rPr>
      <w:t>Page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B28136" w14:textId="77777777" w:rsidR="000C4366" w:rsidRDefault="000C4366" w:rsidP="005A3381">
      <w:pPr>
        <w:spacing w:after="0" w:line="240" w:lineRule="auto"/>
      </w:pPr>
      <w:r>
        <w:separator/>
      </w:r>
    </w:p>
  </w:footnote>
  <w:footnote w:type="continuationSeparator" w:id="0">
    <w:p w14:paraId="6F6DD305" w14:textId="77777777" w:rsidR="000C4366" w:rsidRDefault="000C4366" w:rsidP="005A33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4FF988" w14:textId="66EB0332" w:rsidR="005E3009" w:rsidRPr="00DB5E1D" w:rsidRDefault="005E300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B5E1D">
      <w:rPr>
        <w:rFonts w:asciiTheme="majorHAnsi" w:eastAsiaTheme="majorEastAsia" w:hAnsiTheme="majorHAnsi" w:cstheme="majorBidi"/>
        <w:sz w:val="32"/>
        <w:szCs w:val="32"/>
      </w:rPr>
      <w:t>Working People: A History of Labour in BC</w:t>
    </w:r>
  </w:p>
  <w:p w14:paraId="38248995" w14:textId="77777777" w:rsidR="005A3381" w:rsidRDefault="005A33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E2854"/>
    <w:multiLevelType w:val="hybridMultilevel"/>
    <w:tmpl w:val="7E96A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7C5714B"/>
    <w:multiLevelType w:val="hybridMultilevel"/>
    <w:tmpl w:val="B5924836"/>
    <w:lvl w:ilvl="0" w:tplc="1009000F">
      <w:start w:val="1"/>
      <w:numFmt w:val="decimal"/>
      <w:lvlText w:val="%1."/>
      <w:lvlJc w:val="left"/>
      <w:pPr>
        <w:ind w:left="720" w:hanging="360"/>
      </w:pPr>
    </w:lvl>
    <w:lvl w:ilvl="1" w:tplc="04090019">
      <w:start w:val="1"/>
      <w:numFmt w:val="lowerLetter"/>
      <w:lvlText w:val="%2."/>
      <w:lvlJc w:val="left"/>
      <w:pPr>
        <w:tabs>
          <w:tab w:val="num" w:pos="1440"/>
        </w:tabs>
        <w:ind w:left="1440" w:hanging="360"/>
      </w:pPr>
      <w:rPr>
        <w:b/>
        <w:i w:val="0"/>
      </w:rPr>
    </w:lvl>
    <w:lvl w:ilvl="2" w:tplc="1009001B">
      <w:start w:val="1"/>
      <w:numFmt w:val="decimal"/>
      <w:lvlText w:val="%3."/>
      <w:lvlJc w:val="left"/>
      <w:pPr>
        <w:tabs>
          <w:tab w:val="num" w:pos="2160"/>
        </w:tabs>
        <w:ind w:left="2160" w:hanging="360"/>
      </w:pPr>
    </w:lvl>
    <w:lvl w:ilvl="3" w:tplc="1009000F">
      <w:start w:val="1"/>
      <w:numFmt w:val="decimal"/>
      <w:lvlText w:val="%4."/>
      <w:lvlJc w:val="left"/>
      <w:pPr>
        <w:tabs>
          <w:tab w:val="num" w:pos="2880"/>
        </w:tabs>
        <w:ind w:left="2880" w:hanging="360"/>
      </w:pPr>
    </w:lvl>
    <w:lvl w:ilvl="4" w:tplc="10090019">
      <w:start w:val="1"/>
      <w:numFmt w:val="decimal"/>
      <w:lvlText w:val="%5."/>
      <w:lvlJc w:val="left"/>
      <w:pPr>
        <w:tabs>
          <w:tab w:val="num" w:pos="3600"/>
        </w:tabs>
        <w:ind w:left="3600" w:hanging="360"/>
      </w:pPr>
    </w:lvl>
    <w:lvl w:ilvl="5" w:tplc="1009001B">
      <w:start w:val="1"/>
      <w:numFmt w:val="decimal"/>
      <w:lvlText w:val="%6."/>
      <w:lvlJc w:val="left"/>
      <w:pPr>
        <w:tabs>
          <w:tab w:val="num" w:pos="4320"/>
        </w:tabs>
        <w:ind w:left="4320" w:hanging="360"/>
      </w:pPr>
    </w:lvl>
    <w:lvl w:ilvl="6" w:tplc="1009000F">
      <w:start w:val="1"/>
      <w:numFmt w:val="decimal"/>
      <w:lvlText w:val="%7."/>
      <w:lvlJc w:val="left"/>
      <w:pPr>
        <w:tabs>
          <w:tab w:val="num" w:pos="5040"/>
        </w:tabs>
        <w:ind w:left="5040" w:hanging="360"/>
      </w:pPr>
    </w:lvl>
    <w:lvl w:ilvl="7" w:tplc="10090019">
      <w:start w:val="1"/>
      <w:numFmt w:val="decimal"/>
      <w:lvlText w:val="%8."/>
      <w:lvlJc w:val="left"/>
      <w:pPr>
        <w:tabs>
          <w:tab w:val="num" w:pos="5760"/>
        </w:tabs>
        <w:ind w:left="5760" w:hanging="360"/>
      </w:pPr>
    </w:lvl>
    <w:lvl w:ilvl="8" w:tplc="1009001B">
      <w:start w:val="1"/>
      <w:numFmt w:val="decimal"/>
      <w:lvlText w:val="%9."/>
      <w:lvlJc w:val="left"/>
      <w:pPr>
        <w:tabs>
          <w:tab w:val="num" w:pos="6480"/>
        </w:tabs>
        <w:ind w:left="6480" w:hanging="360"/>
      </w:pPr>
    </w:lvl>
  </w:abstractNum>
  <w:abstractNum w:abstractNumId="2" w15:restartNumberingAfterBreak="0">
    <w:nsid w:val="29166238"/>
    <w:multiLevelType w:val="hybridMultilevel"/>
    <w:tmpl w:val="B0B0C3D0"/>
    <w:lvl w:ilvl="0" w:tplc="10090001">
      <w:start w:val="1"/>
      <w:numFmt w:val="bullet"/>
      <w:lvlText w:val=""/>
      <w:lvlJc w:val="left"/>
      <w:pPr>
        <w:ind w:left="1267" w:hanging="360"/>
      </w:pPr>
      <w:rPr>
        <w:rFonts w:ascii="Symbol" w:hAnsi="Symbol" w:hint="default"/>
      </w:rPr>
    </w:lvl>
    <w:lvl w:ilvl="1" w:tplc="10090003" w:tentative="1">
      <w:start w:val="1"/>
      <w:numFmt w:val="bullet"/>
      <w:lvlText w:val="o"/>
      <w:lvlJc w:val="left"/>
      <w:pPr>
        <w:ind w:left="1987" w:hanging="360"/>
      </w:pPr>
      <w:rPr>
        <w:rFonts w:ascii="Courier New" w:hAnsi="Courier New" w:cs="Courier New" w:hint="default"/>
      </w:rPr>
    </w:lvl>
    <w:lvl w:ilvl="2" w:tplc="10090005" w:tentative="1">
      <w:start w:val="1"/>
      <w:numFmt w:val="bullet"/>
      <w:lvlText w:val=""/>
      <w:lvlJc w:val="left"/>
      <w:pPr>
        <w:ind w:left="2707" w:hanging="360"/>
      </w:pPr>
      <w:rPr>
        <w:rFonts w:ascii="Wingdings" w:hAnsi="Wingdings" w:hint="default"/>
      </w:rPr>
    </w:lvl>
    <w:lvl w:ilvl="3" w:tplc="10090001" w:tentative="1">
      <w:start w:val="1"/>
      <w:numFmt w:val="bullet"/>
      <w:lvlText w:val=""/>
      <w:lvlJc w:val="left"/>
      <w:pPr>
        <w:ind w:left="3427" w:hanging="360"/>
      </w:pPr>
      <w:rPr>
        <w:rFonts w:ascii="Symbol" w:hAnsi="Symbol" w:hint="default"/>
      </w:rPr>
    </w:lvl>
    <w:lvl w:ilvl="4" w:tplc="10090003" w:tentative="1">
      <w:start w:val="1"/>
      <w:numFmt w:val="bullet"/>
      <w:lvlText w:val="o"/>
      <w:lvlJc w:val="left"/>
      <w:pPr>
        <w:ind w:left="4147" w:hanging="360"/>
      </w:pPr>
      <w:rPr>
        <w:rFonts w:ascii="Courier New" w:hAnsi="Courier New" w:cs="Courier New" w:hint="default"/>
      </w:rPr>
    </w:lvl>
    <w:lvl w:ilvl="5" w:tplc="10090005" w:tentative="1">
      <w:start w:val="1"/>
      <w:numFmt w:val="bullet"/>
      <w:lvlText w:val=""/>
      <w:lvlJc w:val="left"/>
      <w:pPr>
        <w:ind w:left="4867" w:hanging="360"/>
      </w:pPr>
      <w:rPr>
        <w:rFonts w:ascii="Wingdings" w:hAnsi="Wingdings" w:hint="default"/>
      </w:rPr>
    </w:lvl>
    <w:lvl w:ilvl="6" w:tplc="10090001" w:tentative="1">
      <w:start w:val="1"/>
      <w:numFmt w:val="bullet"/>
      <w:lvlText w:val=""/>
      <w:lvlJc w:val="left"/>
      <w:pPr>
        <w:ind w:left="5587" w:hanging="360"/>
      </w:pPr>
      <w:rPr>
        <w:rFonts w:ascii="Symbol" w:hAnsi="Symbol" w:hint="default"/>
      </w:rPr>
    </w:lvl>
    <w:lvl w:ilvl="7" w:tplc="10090003" w:tentative="1">
      <w:start w:val="1"/>
      <w:numFmt w:val="bullet"/>
      <w:lvlText w:val="o"/>
      <w:lvlJc w:val="left"/>
      <w:pPr>
        <w:ind w:left="6307" w:hanging="360"/>
      </w:pPr>
      <w:rPr>
        <w:rFonts w:ascii="Courier New" w:hAnsi="Courier New" w:cs="Courier New" w:hint="default"/>
      </w:rPr>
    </w:lvl>
    <w:lvl w:ilvl="8" w:tplc="10090005" w:tentative="1">
      <w:start w:val="1"/>
      <w:numFmt w:val="bullet"/>
      <w:lvlText w:val=""/>
      <w:lvlJc w:val="left"/>
      <w:pPr>
        <w:ind w:left="7027" w:hanging="360"/>
      </w:pPr>
      <w:rPr>
        <w:rFonts w:ascii="Wingdings" w:hAnsi="Wingdings" w:hint="default"/>
      </w:rPr>
    </w:lvl>
  </w:abstractNum>
  <w:abstractNum w:abstractNumId="3" w15:restartNumberingAfterBreak="0">
    <w:nsid w:val="2D473B5C"/>
    <w:multiLevelType w:val="multilevel"/>
    <w:tmpl w:val="ECA63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5246B5"/>
    <w:multiLevelType w:val="multilevel"/>
    <w:tmpl w:val="83E0A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 w15:restartNumberingAfterBreak="0">
    <w:nsid w:val="47135C54"/>
    <w:multiLevelType w:val="hybridMultilevel"/>
    <w:tmpl w:val="950A25DE"/>
    <w:lvl w:ilvl="0" w:tplc="0409000F">
      <w:start w:val="1"/>
      <w:numFmt w:val="decimal"/>
      <w:lvlText w:val="%1."/>
      <w:lvlJc w:val="left"/>
      <w:pPr>
        <w:ind w:left="502"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7312E1"/>
    <w:multiLevelType w:val="hybridMultilevel"/>
    <w:tmpl w:val="892CED48"/>
    <w:lvl w:ilvl="0" w:tplc="8FC0250A">
      <w:start w:val="1"/>
      <w:numFmt w:val="decimal"/>
      <w:pStyle w:val="VignetteQuestions"/>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51AD2F3D"/>
    <w:multiLevelType w:val="hybridMultilevel"/>
    <w:tmpl w:val="F8EE4CB2"/>
    <w:lvl w:ilvl="0" w:tplc="04090001">
      <w:start w:val="1"/>
      <w:numFmt w:val="bullet"/>
      <w:lvlText w:val=""/>
      <w:lvlJc w:val="left"/>
      <w:pPr>
        <w:ind w:left="1364" w:hanging="360"/>
      </w:pPr>
      <w:rPr>
        <w:rFonts w:ascii="Symbol" w:hAnsi="Symbol" w:hint="default"/>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abstractNum w:abstractNumId="9" w15:restartNumberingAfterBreak="0">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63CB3F0C"/>
    <w:multiLevelType w:val="hybridMultilevel"/>
    <w:tmpl w:val="C480EA86"/>
    <w:lvl w:ilvl="0" w:tplc="6A4C5290">
      <w:start w:val="1"/>
      <w:numFmt w:val="lowerLetter"/>
      <w:lvlText w:val="%1."/>
      <w:lvlJc w:val="left"/>
      <w:pPr>
        <w:ind w:left="927"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957952086">
    <w:abstractNumId w:val="5"/>
  </w:num>
  <w:num w:numId="2" w16cid:durableId="164563210">
    <w:abstractNumId w:val="9"/>
  </w:num>
  <w:num w:numId="3" w16cid:durableId="575018167">
    <w:abstractNumId w:val="1"/>
  </w:num>
  <w:num w:numId="4" w16cid:durableId="995764685">
    <w:abstractNumId w:val="6"/>
  </w:num>
  <w:num w:numId="5" w16cid:durableId="764150232">
    <w:abstractNumId w:val="10"/>
  </w:num>
  <w:num w:numId="6" w16cid:durableId="7945767">
    <w:abstractNumId w:val="3"/>
  </w:num>
  <w:num w:numId="7" w16cid:durableId="1341156959">
    <w:abstractNumId w:val="8"/>
  </w:num>
  <w:num w:numId="8" w16cid:durableId="1055548735">
    <w:abstractNumId w:val="1"/>
  </w:num>
  <w:num w:numId="9" w16cid:durableId="602301300">
    <w:abstractNumId w:val="4"/>
  </w:num>
  <w:num w:numId="10" w16cid:durableId="2018725296">
    <w:abstractNumId w:val="0"/>
  </w:num>
  <w:num w:numId="11" w16cid:durableId="1063330075">
    <w:abstractNumId w:val="2"/>
  </w:num>
  <w:num w:numId="12" w16cid:durableId="1563179168">
    <w:abstractNumId w:val="7"/>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B2F"/>
    <w:rsid w:val="0006543A"/>
    <w:rsid w:val="000C4366"/>
    <w:rsid w:val="000E1A4A"/>
    <w:rsid w:val="00123122"/>
    <w:rsid w:val="00153259"/>
    <w:rsid w:val="001B368A"/>
    <w:rsid w:val="002368DE"/>
    <w:rsid w:val="00241F4A"/>
    <w:rsid w:val="00247254"/>
    <w:rsid w:val="00273C49"/>
    <w:rsid w:val="002B6A98"/>
    <w:rsid w:val="002C2659"/>
    <w:rsid w:val="002C4C53"/>
    <w:rsid w:val="002E10A3"/>
    <w:rsid w:val="0034199A"/>
    <w:rsid w:val="003516B1"/>
    <w:rsid w:val="00381AD8"/>
    <w:rsid w:val="003A47B0"/>
    <w:rsid w:val="003D6496"/>
    <w:rsid w:val="003E116B"/>
    <w:rsid w:val="003E5F85"/>
    <w:rsid w:val="003F48EA"/>
    <w:rsid w:val="003F6B0F"/>
    <w:rsid w:val="00432C60"/>
    <w:rsid w:val="00467D77"/>
    <w:rsid w:val="00475491"/>
    <w:rsid w:val="004925C2"/>
    <w:rsid w:val="004C29C6"/>
    <w:rsid w:val="00510761"/>
    <w:rsid w:val="005650CE"/>
    <w:rsid w:val="00574A39"/>
    <w:rsid w:val="005A3381"/>
    <w:rsid w:val="005D0B52"/>
    <w:rsid w:val="005E3009"/>
    <w:rsid w:val="005E4626"/>
    <w:rsid w:val="005F5372"/>
    <w:rsid w:val="00632951"/>
    <w:rsid w:val="006D266C"/>
    <w:rsid w:val="006E218D"/>
    <w:rsid w:val="006F52DA"/>
    <w:rsid w:val="00742D1D"/>
    <w:rsid w:val="007540FD"/>
    <w:rsid w:val="007827A0"/>
    <w:rsid w:val="007A21C4"/>
    <w:rsid w:val="007B2EF3"/>
    <w:rsid w:val="007E7322"/>
    <w:rsid w:val="007F2E7E"/>
    <w:rsid w:val="00801B7A"/>
    <w:rsid w:val="0081634F"/>
    <w:rsid w:val="0086484F"/>
    <w:rsid w:val="00871DCB"/>
    <w:rsid w:val="008A0AC8"/>
    <w:rsid w:val="008A2445"/>
    <w:rsid w:val="009352DA"/>
    <w:rsid w:val="009400FE"/>
    <w:rsid w:val="009845D6"/>
    <w:rsid w:val="009B3C06"/>
    <w:rsid w:val="009D2DAA"/>
    <w:rsid w:val="00A069E9"/>
    <w:rsid w:val="00A2162B"/>
    <w:rsid w:val="00A26F3C"/>
    <w:rsid w:val="00A5590F"/>
    <w:rsid w:val="00A732BE"/>
    <w:rsid w:val="00AA3F37"/>
    <w:rsid w:val="00AE07E1"/>
    <w:rsid w:val="00AF46F3"/>
    <w:rsid w:val="00B76EBF"/>
    <w:rsid w:val="00B955DD"/>
    <w:rsid w:val="00BB4AB1"/>
    <w:rsid w:val="00BD69FF"/>
    <w:rsid w:val="00BF0FF8"/>
    <w:rsid w:val="00C142CE"/>
    <w:rsid w:val="00CB2F75"/>
    <w:rsid w:val="00CC067C"/>
    <w:rsid w:val="00D3032B"/>
    <w:rsid w:val="00D52FD3"/>
    <w:rsid w:val="00D6058C"/>
    <w:rsid w:val="00DA6603"/>
    <w:rsid w:val="00DA7B65"/>
    <w:rsid w:val="00DB5E1D"/>
    <w:rsid w:val="00DF687C"/>
    <w:rsid w:val="00E86B2F"/>
    <w:rsid w:val="00F051FC"/>
    <w:rsid w:val="00F23B23"/>
    <w:rsid w:val="00F42767"/>
    <w:rsid w:val="00F70314"/>
    <w:rsid w:val="00F72A8B"/>
    <w:rsid w:val="00F8295D"/>
    <w:rsid w:val="00FF33A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2AAED3"/>
  <w15:docId w15:val="{2DC9EB3C-290C-1441-9A0B-C3058C656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paragraph" w:customStyle="1" w:styleId="Vocabulary">
    <w:name w:val="Vocabulary"/>
    <w:basedOn w:val="Normal"/>
    <w:qFormat/>
    <w:rsid w:val="009352DA"/>
    <w:pPr>
      <w:ind w:left="360" w:hanging="360"/>
    </w:pPr>
    <w:rPr>
      <w:rFonts w:asciiTheme="majorHAnsi" w:hAnsiTheme="majorHAnsi"/>
      <w:sz w:val="24"/>
      <w:szCs w:val="24"/>
    </w:rPr>
  </w:style>
  <w:style w:type="paragraph" w:styleId="Revision">
    <w:name w:val="Revision"/>
    <w:hidden/>
    <w:uiPriority w:val="99"/>
    <w:semiHidden/>
    <w:rsid w:val="005E4626"/>
    <w:pPr>
      <w:spacing w:after="0" w:line="240" w:lineRule="auto"/>
    </w:pPr>
  </w:style>
  <w:style w:type="paragraph" w:styleId="ListParagraph">
    <w:name w:val="List Paragraph"/>
    <w:basedOn w:val="Normal"/>
    <w:uiPriority w:val="34"/>
    <w:qFormat/>
    <w:rsid w:val="005E4626"/>
    <w:pPr>
      <w:ind w:left="720"/>
      <w:contextualSpacing/>
    </w:pPr>
    <w:rPr>
      <w:lang w:val="en-US"/>
    </w:rPr>
  </w:style>
  <w:style w:type="character" w:styleId="Hyperlink">
    <w:name w:val="Hyperlink"/>
    <w:basedOn w:val="DefaultParagraphFont"/>
    <w:uiPriority w:val="99"/>
    <w:unhideWhenUsed/>
    <w:rsid w:val="005E4626"/>
    <w:rPr>
      <w:color w:val="0000FF" w:themeColor="hyperlink"/>
      <w:u w:val="single"/>
    </w:rPr>
  </w:style>
  <w:style w:type="paragraph" w:styleId="NormalWeb">
    <w:name w:val="Normal (Web)"/>
    <w:basedOn w:val="Normal"/>
    <w:uiPriority w:val="99"/>
    <w:semiHidden/>
    <w:unhideWhenUsed/>
    <w:rsid w:val="005E4626"/>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5E4626"/>
    <w:rPr>
      <w:sz w:val="16"/>
      <w:szCs w:val="16"/>
    </w:rPr>
  </w:style>
  <w:style w:type="paragraph" w:styleId="CommentText">
    <w:name w:val="annotation text"/>
    <w:basedOn w:val="Normal"/>
    <w:link w:val="CommentTextChar"/>
    <w:uiPriority w:val="99"/>
    <w:semiHidden/>
    <w:unhideWhenUsed/>
    <w:rsid w:val="005E4626"/>
    <w:pPr>
      <w:spacing w:line="240" w:lineRule="auto"/>
    </w:pPr>
    <w:rPr>
      <w:sz w:val="20"/>
      <w:szCs w:val="20"/>
      <w:lang w:val="en-US"/>
    </w:rPr>
  </w:style>
  <w:style w:type="character" w:customStyle="1" w:styleId="CommentTextChar">
    <w:name w:val="Comment Text Char"/>
    <w:basedOn w:val="DefaultParagraphFont"/>
    <w:link w:val="CommentText"/>
    <w:uiPriority w:val="99"/>
    <w:semiHidden/>
    <w:rsid w:val="005E4626"/>
    <w:rPr>
      <w:sz w:val="20"/>
      <w:szCs w:val="20"/>
      <w:lang w:val="en-US"/>
    </w:rPr>
  </w:style>
  <w:style w:type="character" w:styleId="Emphasis">
    <w:name w:val="Emphasis"/>
    <w:basedOn w:val="DefaultParagraphFont"/>
    <w:uiPriority w:val="20"/>
    <w:qFormat/>
    <w:rsid w:val="005E4626"/>
    <w:rPr>
      <w:i/>
      <w:iCs/>
    </w:rPr>
  </w:style>
  <w:style w:type="character" w:styleId="FollowedHyperlink">
    <w:name w:val="FollowedHyperlink"/>
    <w:basedOn w:val="DefaultParagraphFont"/>
    <w:uiPriority w:val="99"/>
    <w:semiHidden/>
    <w:unhideWhenUsed/>
    <w:rsid w:val="004C29C6"/>
    <w:rPr>
      <w:color w:val="800080" w:themeColor="followedHyperlink"/>
      <w:u w:val="single"/>
    </w:rPr>
  </w:style>
  <w:style w:type="character" w:styleId="UnresolvedMention">
    <w:name w:val="Unresolved Mention"/>
    <w:basedOn w:val="DefaultParagraphFont"/>
    <w:uiPriority w:val="99"/>
    <w:semiHidden/>
    <w:unhideWhenUsed/>
    <w:rsid w:val="003E5F85"/>
    <w:rPr>
      <w:color w:val="605E5C"/>
      <w:shd w:val="clear" w:color="auto" w:fill="E1DFDD"/>
    </w:rPr>
  </w:style>
  <w:style w:type="character" w:styleId="PageNumber">
    <w:name w:val="page number"/>
    <w:basedOn w:val="DefaultParagraphFont"/>
    <w:uiPriority w:val="99"/>
    <w:semiHidden/>
    <w:unhideWhenUsed/>
    <w:rsid w:val="00FF33A0"/>
  </w:style>
  <w:style w:type="paragraph" w:customStyle="1" w:styleId="VignetteQuestions">
    <w:name w:val="Vignette Questions"/>
    <w:basedOn w:val="ListNumber"/>
    <w:qFormat/>
    <w:rsid w:val="00F70314"/>
    <w:pPr>
      <w:spacing w:before="120" w:after="160" w:line="240" w:lineRule="auto"/>
      <w:ind w:left="927"/>
      <w:contextualSpacing w:val="0"/>
    </w:pPr>
    <w:rPr>
      <w:rFonts w:eastAsia="MS Mincho"/>
      <w:color w:val="404040"/>
      <w:lang w:val="en-US" w:bidi="en-US"/>
    </w:rPr>
  </w:style>
  <w:style w:type="paragraph" w:customStyle="1" w:styleId="AdditionalActivities">
    <w:name w:val="Additional Activities"/>
    <w:basedOn w:val="VignetteQuestions"/>
    <w:qFormat/>
    <w:rsid w:val="00F70314"/>
  </w:style>
  <w:style w:type="paragraph" w:styleId="BodyText">
    <w:name w:val="Body Text"/>
    <w:basedOn w:val="Normal"/>
    <w:link w:val="BodyTextChar"/>
    <w:uiPriority w:val="1"/>
    <w:qFormat/>
    <w:rsid w:val="00F70314"/>
    <w:pPr>
      <w:widowControl w:val="0"/>
      <w:autoSpaceDE w:val="0"/>
      <w:autoSpaceDN w:val="0"/>
      <w:spacing w:after="0" w:line="240" w:lineRule="auto"/>
    </w:pPr>
    <w:rPr>
      <w:rFonts w:ascii="Cambria" w:eastAsia="Cambria" w:hAnsi="Cambria" w:cs="Cambria"/>
      <w:sz w:val="20"/>
      <w:szCs w:val="20"/>
      <w:lang w:val="en-US"/>
    </w:rPr>
  </w:style>
  <w:style w:type="character" w:customStyle="1" w:styleId="BodyTextChar">
    <w:name w:val="Body Text Char"/>
    <w:basedOn w:val="DefaultParagraphFont"/>
    <w:link w:val="BodyText"/>
    <w:uiPriority w:val="1"/>
    <w:rsid w:val="00F70314"/>
    <w:rPr>
      <w:rFonts w:ascii="Cambria" w:eastAsia="Cambria" w:hAnsi="Cambria" w:cs="Cambria"/>
      <w:sz w:val="20"/>
      <w:szCs w:val="20"/>
      <w:lang w:val="en-US"/>
    </w:rPr>
  </w:style>
  <w:style w:type="paragraph" w:styleId="ListNumber">
    <w:name w:val="List Number"/>
    <w:basedOn w:val="Normal"/>
    <w:uiPriority w:val="99"/>
    <w:semiHidden/>
    <w:unhideWhenUsed/>
    <w:rsid w:val="00F70314"/>
    <w:pPr>
      <w:ind w:left="72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fisabc.ca/wp-content/uploads/pdf/School%20Inspection%20Guideline%20-%20Final-1.pdf"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metrovancouver.org/school-programs/Documents/regional-satellite-map.pdf"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orksafebc.com/en"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bcpsea.bc.ca/sector-services/occupational-health-safety/ohs-topics/" TargetMode="External"/><Relationship Id="rId4" Type="http://schemas.openxmlformats.org/officeDocument/2006/relationships/webSettings" Target="webSettings.xml"/><Relationship Id="rId9" Type="http://schemas.openxmlformats.org/officeDocument/2006/relationships/hyperlink" Target="https://www.bctf.ca/docs/default-source/services-guidance/health-safety/bctf_health_and_safety_handbook.pdf?sfvrsn=344f7b31_4"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Pages>
  <Words>1448</Words>
  <Characters>8256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Wayne Axford</cp:lastModifiedBy>
  <cp:revision>5</cp:revision>
  <dcterms:created xsi:type="dcterms:W3CDTF">2025-02-19T23:29:00Z</dcterms:created>
  <dcterms:modified xsi:type="dcterms:W3CDTF">2025-05-16T18:10:00Z</dcterms:modified>
</cp:coreProperties>
</file>