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341AB" w14:textId="6E2CA672" w:rsidR="0086484F" w:rsidRDefault="00000000" w:rsidP="009352DA">
      <w:pPr>
        <w:tabs>
          <w:tab w:val="right" w:pos="9360"/>
        </w:tabs>
        <w:rPr>
          <w:rFonts w:ascii="Cambria" w:eastAsia="Cambria" w:hAnsi="Cambria" w:cs="Times New Roman"/>
          <w:b/>
          <w:bCs/>
          <w:sz w:val="32"/>
          <w:szCs w:val="32"/>
          <w:lang w:val="fr-CA"/>
        </w:rPr>
      </w:pPr>
      <w:r>
        <w:rPr>
          <w:rFonts w:ascii="Cambria" w:eastAsia="Cambria" w:hAnsi="Cambria" w:cs="Times New Roman"/>
          <w:b/>
          <w:bCs/>
          <w:sz w:val="32"/>
          <w:szCs w:val="32"/>
          <w:lang w:val="fr-CA"/>
        </w:rPr>
        <w:tab/>
        <w:t>Leçon</w:t>
      </w:r>
      <w:r w:rsidR="00413F62">
        <w:rPr>
          <w:rFonts w:ascii="Cambria" w:eastAsia="Cambria" w:hAnsi="Cambria" w:cs="Times New Roman"/>
          <w:b/>
          <w:bCs/>
          <w:sz w:val="32"/>
          <w:szCs w:val="32"/>
          <w:lang w:val="fr-CA"/>
        </w:rPr>
        <w:t xml:space="preserve"> : </w:t>
      </w:r>
      <w:r>
        <w:rPr>
          <w:rFonts w:ascii="Cambria" w:eastAsia="Cambria" w:hAnsi="Cambria" w:cs="Times New Roman"/>
          <w:b/>
          <w:bCs/>
          <w:sz w:val="32"/>
          <w:szCs w:val="32"/>
          <w:lang w:val="fr-CA"/>
        </w:rPr>
        <w:t>Solidarité</w:t>
      </w:r>
    </w:p>
    <w:p w14:paraId="39CA4464" w14:textId="1FAE7EB5" w:rsidR="0014403B" w:rsidRPr="00413F62" w:rsidRDefault="0014403B" w:rsidP="009352DA">
      <w:pPr>
        <w:tabs>
          <w:tab w:val="right" w:pos="9360"/>
        </w:tabs>
        <w:rPr>
          <w:rFonts w:asciiTheme="majorHAnsi" w:hAnsiTheme="majorHAnsi"/>
          <w:b/>
          <w:sz w:val="32"/>
          <w:szCs w:val="32"/>
          <w:lang w:val="fr-CA"/>
        </w:rPr>
      </w:pPr>
      <w:r>
        <w:rPr>
          <w:rFonts w:ascii="Cambria" w:eastAsia="Cambria" w:hAnsi="Cambria" w:cs="Times New Roman"/>
          <w:b/>
          <w:bCs/>
          <w:sz w:val="32"/>
          <w:szCs w:val="32"/>
          <w:lang w:val="fr-CA"/>
        </w:rPr>
        <w:t>Annexe 1 : Stratégies d’enseignement</w:t>
      </w:r>
    </w:p>
    <w:p w14:paraId="02EAEBF5" w14:textId="77777777" w:rsidR="004C3367" w:rsidRPr="00413F62" w:rsidRDefault="00000000" w:rsidP="004C3367">
      <w:pPr>
        <w:spacing w:line="240" w:lineRule="auto"/>
        <w:rPr>
          <w:rFonts w:asciiTheme="majorHAnsi" w:eastAsia="Times New Roman" w:hAnsiTheme="majorHAnsi" w:cs="Times New Roman"/>
          <w:sz w:val="24"/>
          <w:szCs w:val="24"/>
          <w:lang w:val="fr-CA" w:eastAsia="en-CA"/>
        </w:rPr>
      </w:pPr>
      <w:r>
        <w:rPr>
          <w:rFonts w:ascii="Cambria" w:eastAsia="Cambria" w:hAnsi="Cambria" w:cs="Times New Roman"/>
          <w:b/>
          <w:bCs/>
          <w:color w:val="000000"/>
          <w:sz w:val="24"/>
          <w:szCs w:val="24"/>
          <w:lang w:val="fr-CA" w:eastAsia="en-CA"/>
        </w:rPr>
        <w:t>Introduction</w:t>
      </w:r>
    </w:p>
    <w:p w14:paraId="096AB747" w14:textId="0061253C" w:rsidR="009004A8" w:rsidRPr="00413F62" w:rsidRDefault="00000000" w:rsidP="004C3367">
      <w:pPr>
        <w:spacing w:line="240" w:lineRule="auto"/>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Cette leçon est censée être enseignée en conjonction avec le programme d’Études politiques 12 et peut aussi faire partie de l’unité de Justice sociale 12 pour explorer les rôles respectifs de l’État et des citoyens dans l’exercice de la justice sociale.</w:t>
      </w:r>
    </w:p>
    <w:p w14:paraId="5E05C4C8" w14:textId="77777777" w:rsidR="009004A8" w:rsidRPr="00413F62" w:rsidRDefault="00000000" w:rsidP="004C3367">
      <w:pPr>
        <w:spacing w:line="240" w:lineRule="auto"/>
        <w:rPr>
          <w:rFonts w:asciiTheme="majorHAnsi" w:eastAsia="Times New Roman" w:hAnsiTheme="majorHAnsi" w:cs="Times New Roman"/>
          <w:b/>
          <w:sz w:val="24"/>
          <w:szCs w:val="24"/>
          <w:lang w:val="fr-CA" w:eastAsia="en-CA"/>
        </w:rPr>
      </w:pPr>
      <w:r>
        <w:rPr>
          <w:rFonts w:ascii="Cambria" w:eastAsia="Cambria" w:hAnsi="Cambria" w:cs="Times New Roman"/>
          <w:b/>
          <w:bCs/>
          <w:color w:val="000000"/>
          <w:sz w:val="24"/>
          <w:szCs w:val="24"/>
          <w:lang w:val="fr-CA" w:eastAsia="en-CA"/>
        </w:rPr>
        <w:t>Leçon principale</w:t>
      </w:r>
    </w:p>
    <w:p w14:paraId="1E5B2103" w14:textId="6DEAF980" w:rsidR="004C3367" w:rsidRPr="00413F62" w:rsidRDefault="00000000" w:rsidP="004C3367">
      <w:pPr>
        <w:spacing w:line="240" w:lineRule="auto"/>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Pour commencer la leçon, introduisez le thème de l’Opération Solidarité et de la crise de 1983, en résumant les principaux événements de ce conflit historique entre le gouvernement et les travailleurs.</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 xml:space="preserve">Voir </w:t>
      </w:r>
      <w:r>
        <w:rPr>
          <w:rFonts w:ascii="Cambria" w:eastAsia="Cambria" w:hAnsi="Cambria" w:cs="Times New Roman"/>
          <w:i/>
          <w:iCs/>
          <w:color w:val="000000"/>
          <w:sz w:val="24"/>
          <w:szCs w:val="24"/>
          <w:lang w:val="fr-CA" w:eastAsia="en-CA"/>
        </w:rPr>
        <w:t xml:space="preserve">Synopsis sur Opération Solidarité </w:t>
      </w:r>
      <w:r>
        <w:rPr>
          <w:rFonts w:ascii="Cambria" w:eastAsia="Cambria" w:hAnsi="Cambria" w:cs="Times New Roman"/>
          <w:color w:val="000000"/>
          <w:sz w:val="24"/>
          <w:szCs w:val="24"/>
          <w:lang w:val="fr-CA" w:eastAsia="en-CA"/>
        </w:rPr>
        <w:t>ci-dessous pour un aperçu de ces événements à l’intention de l’enseignant(e).</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Distribuez la feuille de travail «</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Solidarité</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w:t>
      </w:r>
      <w:r>
        <w:rPr>
          <w:rFonts w:ascii="Cambria" w:eastAsia="Cambria" w:hAnsi="Cambria" w:cs="Times New Roman"/>
          <w:b/>
          <w:bCs/>
          <w:color w:val="000000"/>
          <w:sz w:val="24"/>
          <w:szCs w:val="24"/>
          <w:lang w:val="fr-CA" w:eastAsia="en-CA"/>
        </w:rPr>
        <w:t>1</w:t>
      </w:r>
      <w:r>
        <w:rPr>
          <w:rFonts w:ascii="Cambria" w:eastAsia="Cambria" w:hAnsi="Cambria" w:cs="Times New Roman"/>
          <w:b/>
          <w:bCs/>
          <w:color w:val="000000"/>
          <w:sz w:val="24"/>
          <w:szCs w:val="24"/>
          <w:vertAlign w:val="superscript"/>
          <w:lang w:val="fr-CA" w:eastAsia="en-CA"/>
        </w:rPr>
        <w:t>re</w:t>
      </w:r>
      <w:r>
        <w:rPr>
          <w:rFonts w:ascii="Cambria" w:eastAsia="Cambria" w:hAnsi="Cambria" w:cs="Times New Roman"/>
          <w:b/>
          <w:bCs/>
          <w:color w:val="000000"/>
          <w:sz w:val="24"/>
          <w:szCs w:val="24"/>
          <w:lang w:val="fr-CA" w:eastAsia="en-CA"/>
        </w:rPr>
        <w:t xml:space="preserve"> activité de la leçon</w:t>
      </w:r>
      <w:r>
        <w:rPr>
          <w:rFonts w:ascii="Cambria" w:eastAsia="Cambria" w:hAnsi="Cambria" w:cs="Times New Roman"/>
          <w:color w:val="000000"/>
          <w:sz w:val="24"/>
          <w:szCs w:val="24"/>
          <w:lang w:val="fr-CA" w:eastAsia="en-CA"/>
        </w:rPr>
        <w:t xml:space="preserve">) à toute la classe. Demandez aux élèves de répondre à la </w:t>
      </w:r>
      <w:r w:rsidR="00413F62">
        <w:rPr>
          <w:rFonts w:ascii="Cambria" w:eastAsia="Cambria" w:hAnsi="Cambria" w:cs="Times New Roman"/>
          <w:color w:val="000000"/>
          <w:sz w:val="24"/>
          <w:szCs w:val="24"/>
          <w:lang w:val="fr-CA" w:eastAsia="en-CA"/>
        </w:rPr>
        <w:t>première</w:t>
      </w:r>
      <w:r>
        <w:rPr>
          <w:rFonts w:ascii="Cambria" w:eastAsia="Cambria" w:hAnsi="Cambria" w:cs="Times New Roman"/>
          <w:color w:val="000000"/>
          <w:sz w:val="24"/>
          <w:szCs w:val="24"/>
          <w:vertAlign w:val="superscript"/>
          <w:lang w:val="fr-CA" w:eastAsia="en-CA"/>
        </w:rPr>
        <w:t> </w:t>
      </w:r>
      <w:r>
        <w:rPr>
          <w:rFonts w:ascii="Cambria" w:eastAsia="Cambria" w:hAnsi="Cambria" w:cs="Times New Roman"/>
          <w:color w:val="000000"/>
          <w:sz w:val="24"/>
          <w:szCs w:val="24"/>
          <w:lang w:val="fr-CA" w:eastAsia="en-CA"/>
        </w:rPr>
        <w:t>question, puis faites-leur regarder la capsule historique.</w:t>
      </w:r>
    </w:p>
    <w:p w14:paraId="290E3E04" w14:textId="1A1C5FE8" w:rsidR="005B5B3C" w:rsidRPr="00413F62" w:rsidRDefault="00000000" w:rsidP="005B5B3C">
      <w:pPr>
        <w:spacing w:line="240" w:lineRule="auto"/>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Après cela, demandez aux élèves de répondre au reste des questions. Une fois cela fait, discutez avec la classe des divers aspects de ces questions.</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Penchez-vous sur les raisons pour lesquelles les élèves pensent que les syndicats sont nécessaires (ou non) et sur la question de savoir si le conflit est une force positive dans une démocratie.</w:t>
      </w:r>
      <w:r w:rsidR="00413F62">
        <w:rPr>
          <w:rFonts w:ascii="Cambria" w:eastAsia="Cambria" w:hAnsi="Cambria" w:cs="Times New Roman"/>
          <w:color w:val="000000"/>
          <w:sz w:val="24"/>
          <w:szCs w:val="24"/>
          <w:lang w:val="fr-CA" w:eastAsia="en-CA"/>
        </w:rPr>
        <w:t xml:space="preserve"> </w:t>
      </w:r>
      <w:r w:rsidRPr="00413F62">
        <w:rPr>
          <w:rFonts w:ascii="Cambria" w:eastAsia="Cambria" w:hAnsi="Cambria" w:cs="Times New Roman"/>
          <w:b/>
          <w:bCs/>
          <w:color w:val="000000"/>
          <w:sz w:val="24"/>
          <w:szCs w:val="24"/>
          <w:lang w:val="fr-CA" w:eastAsia="en-CA"/>
        </w:rPr>
        <w:t>L’</w:t>
      </w:r>
      <w:r>
        <w:rPr>
          <w:rFonts w:ascii="Cambria" w:eastAsia="Cambria" w:hAnsi="Cambria" w:cs="Times New Roman"/>
          <w:b/>
          <w:bCs/>
          <w:color w:val="000000"/>
          <w:sz w:val="24"/>
          <w:szCs w:val="24"/>
          <w:lang w:val="fr-CA" w:eastAsia="en-CA"/>
        </w:rPr>
        <w:t>activité connexe</w:t>
      </w:r>
      <w:r>
        <w:rPr>
          <w:rFonts w:ascii="Cambria" w:eastAsia="Cambria" w:hAnsi="Cambria" w:cs="Times New Roman"/>
          <w:color w:val="000000"/>
          <w:sz w:val="24"/>
          <w:szCs w:val="24"/>
          <w:lang w:val="fr-CA" w:eastAsia="en-CA"/>
        </w:rPr>
        <w:t>, si vous choisissez d’y procéder, mettra cela en lumière.</w:t>
      </w:r>
    </w:p>
    <w:p w14:paraId="57A83D98" w14:textId="58377473" w:rsidR="004C6AE5" w:rsidRPr="00413F62" w:rsidRDefault="00000000" w:rsidP="005B5B3C">
      <w:pPr>
        <w:spacing w:line="240" w:lineRule="auto"/>
        <w:rPr>
          <w:rFonts w:asciiTheme="majorHAnsi" w:eastAsia="Times New Roman" w:hAnsiTheme="majorHAnsi" w:cs="Times New Roman"/>
          <w:lang w:val="fr-CA" w:eastAsia="en-CA"/>
        </w:rPr>
      </w:pPr>
      <w:r>
        <w:rPr>
          <w:rFonts w:ascii="Cambria" w:eastAsia="Cambria" w:hAnsi="Cambria" w:cs="Times New Roman"/>
          <w:sz w:val="24"/>
          <w:szCs w:val="24"/>
          <w:lang w:val="fr-CA" w:eastAsia="en-CA"/>
        </w:rPr>
        <w:t xml:space="preserve">Pour une étude plus approfondie du mouvement Solidarité, faites travailler les élèves sur la </w:t>
      </w:r>
      <w:r>
        <w:rPr>
          <w:rFonts w:ascii="Cambria" w:eastAsia="Cambria" w:hAnsi="Cambria" w:cs="Times New Roman"/>
          <w:b/>
          <w:bCs/>
          <w:sz w:val="24"/>
          <w:szCs w:val="24"/>
          <w:lang w:val="fr-CA" w:eastAsia="en-CA"/>
        </w:rPr>
        <w:t>2</w:t>
      </w:r>
      <w:r w:rsidRPr="00413F62">
        <w:rPr>
          <w:rFonts w:ascii="Cambria" w:eastAsia="Cambria" w:hAnsi="Cambria" w:cs="Times New Roman"/>
          <w:b/>
          <w:bCs/>
          <w:sz w:val="24"/>
          <w:szCs w:val="24"/>
          <w:vertAlign w:val="superscript"/>
          <w:lang w:val="fr-CA" w:eastAsia="en-CA"/>
        </w:rPr>
        <w:t xml:space="preserve">e </w:t>
      </w:r>
      <w:r>
        <w:rPr>
          <w:rFonts w:ascii="Cambria" w:eastAsia="Cambria" w:hAnsi="Cambria" w:cs="Times New Roman"/>
          <w:b/>
          <w:bCs/>
          <w:sz w:val="24"/>
          <w:szCs w:val="24"/>
          <w:lang w:val="fr-CA" w:eastAsia="en-CA"/>
        </w:rPr>
        <w:t>activité de la leçon</w:t>
      </w:r>
      <w:r>
        <w:rPr>
          <w:rFonts w:ascii="Cambria" w:eastAsia="Cambria" w:hAnsi="Cambria" w:cs="Times New Roman"/>
          <w:sz w:val="24"/>
          <w:szCs w:val="24"/>
          <w:lang w:val="fr-CA" w:eastAsia="en-CA"/>
        </w:rPr>
        <w:t xml:space="preserve"> «</w:t>
      </w:r>
      <w:r w:rsidR="00413F62">
        <w:rPr>
          <w:rFonts w:ascii="Cambria" w:eastAsia="Cambria" w:hAnsi="Cambria" w:cs="Times New Roman"/>
          <w:sz w:val="24"/>
          <w:szCs w:val="24"/>
          <w:lang w:val="fr-CA" w:eastAsia="en-CA"/>
        </w:rPr>
        <w:t> </w:t>
      </w:r>
      <w:r>
        <w:rPr>
          <w:rFonts w:ascii="Cambria" w:eastAsia="Cambria" w:hAnsi="Cambria" w:cs="Times New Roman"/>
          <w:sz w:val="24"/>
          <w:szCs w:val="24"/>
          <w:lang w:val="fr-CA" w:eastAsia="en-CA"/>
        </w:rPr>
        <w:t>Solidarité : la plus grande protestation politique de l’histoire de la Colombie-Britannique</w:t>
      </w:r>
      <w:r w:rsidR="00413F62">
        <w:rPr>
          <w:rFonts w:ascii="Cambria" w:eastAsia="Cambria" w:hAnsi="Cambria" w:cs="Times New Roman"/>
          <w:sz w:val="24"/>
          <w:szCs w:val="24"/>
          <w:lang w:val="fr-CA" w:eastAsia="en-CA"/>
        </w:rPr>
        <w:t> </w:t>
      </w:r>
      <w:r>
        <w:rPr>
          <w:rFonts w:ascii="Cambria" w:eastAsia="Cambria" w:hAnsi="Cambria" w:cs="Times New Roman"/>
          <w:sz w:val="24"/>
          <w:szCs w:val="24"/>
          <w:lang w:val="fr-CA" w:eastAsia="en-CA"/>
        </w:rPr>
        <w:t>», qui se réfère à l’exposition créée par le BC Labour Heritage Centre pour Musées numériques Canada. Cette activité peut être réalisée en petits groupes et incorpore les trois grandes idées du cours ainsi que l’acquisition des connaissances désirées.</w:t>
      </w:r>
    </w:p>
    <w:p w14:paraId="226DF5B3" w14:textId="77777777" w:rsidR="005B5B3C" w:rsidRPr="00413F62" w:rsidRDefault="00000000" w:rsidP="005B5B3C">
      <w:pPr>
        <w:spacing w:line="240" w:lineRule="auto"/>
        <w:rPr>
          <w:rFonts w:asciiTheme="majorHAnsi" w:eastAsia="Times New Roman" w:hAnsiTheme="majorHAnsi" w:cs="Times New Roman"/>
          <w:sz w:val="24"/>
          <w:szCs w:val="24"/>
          <w:lang w:val="fr-CA" w:eastAsia="en-CA"/>
        </w:rPr>
      </w:pPr>
      <w:r>
        <w:rPr>
          <w:rFonts w:ascii="Cambria" w:eastAsia="Cambria" w:hAnsi="Cambria" w:cs="Times New Roman"/>
          <w:b/>
          <w:bCs/>
          <w:color w:val="000000"/>
          <w:sz w:val="24"/>
          <w:szCs w:val="24"/>
          <w:lang w:val="fr-CA" w:eastAsia="en-CA"/>
        </w:rPr>
        <w:t>Activité connexe (facultatif) :</w:t>
      </w:r>
    </w:p>
    <w:p w14:paraId="6F778A1F" w14:textId="46A3B451" w:rsidR="005B5B3C" w:rsidRPr="00413F62" w:rsidRDefault="00000000" w:rsidP="005B5B3C">
      <w:pPr>
        <w:spacing w:line="240" w:lineRule="auto"/>
        <w:rPr>
          <w:rFonts w:asciiTheme="majorHAnsi" w:eastAsia="Times New Roman" w:hAnsiTheme="majorHAnsi" w:cs="Times New Roman"/>
          <w:sz w:val="24"/>
          <w:szCs w:val="24"/>
          <w:lang w:val="fr-CA" w:eastAsia="en-CA"/>
        </w:rPr>
      </w:pPr>
      <w:r>
        <w:rPr>
          <w:rFonts w:ascii="Cambria" w:eastAsia="Cambria" w:hAnsi="Cambria" w:cs="Times New Roman"/>
          <w:color w:val="000000"/>
          <w:sz w:val="24"/>
          <w:szCs w:val="24"/>
          <w:lang w:val="fr-CA" w:eastAsia="en-CA"/>
        </w:rPr>
        <w:t>Commencez cette section en posant la question suivante : «</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A-t-on vraiment encore besoin de syndicats à notre époque?</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Pourquoi les gens devraient-ils avoir le droit de se syndiquer, n’existe-t-il pas assez de protections comme cela?</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Distribuez la feuille de documentation «</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Résoudre un problème sans syndicat</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w:t>
      </w:r>
      <w:r>
        <w:rPr>
          <w:rFonts w:ascii="Cambria" w:eastAsia="Cambria" w:hAnsi="Cambria" w:cs="Times New Roman"/>
          <w:b/>
          <w:bCs/>
          <w:color w:val="000000"/>
          <w:sz w:val="24"/>
          <w:szCs w:val="24"/>
          <w:lang w:val="fr-CA" w:eastAsia="en-CA"/>
        </w:rPr>
        <w:t>3</w:t>
      </w:r>
      <w:r w:rsidRPr="00413F62">
        <w:rPr>
          <w:rFonts w:ascii="Cambria" w:eastAsia="Cambria" w:hAnsi="Cambria" w:cs="Times New Roman"/>
          <w:b/>
          <w:bCs/>
          <w:color w:val="000000"/>
          <w:sz w:val="24"/>
          <w:szCs w:val="24"/>
          <w:vertAlign w:val="superscript"/>
          <w:lang w:val="fr-CA" w:eastAsia="en-CA"/>
        </w:rPr>
        <w:t>e</w:t>
      </w:r>
      <w:r>
        <w:rPr>
          <w:rFonts w:ascii="Cambria" w:eastAsia="Cambria" w:hAnsi="Cambria" w:cs="Times New Roman"/>
          <w:b/>
          <w:bCs/>
          <w:color w:val="000000"/>
          <w:sz w:val="24"/>
          <w:szCs w:val="24"/>
          <w:lang w:val="fr-CA" w:eastAsia="en-CA"/>
        </w:rPr>
        <w:t> activité de la leçon</w:t>
      </w:r>
      <w:r>
        <w:rPr>
          <w:rFonts w:ascii="Cambria" w:eastAsia="Cambria" w:hAnsi="Cambria" w:cs="Times New Roman"/>
          <w:color w:val="000000"/>
          <w:sz w:val="24"/>
          <w:szCs w:val="24"/>
          <w:lang w:val="fr-CA" w:eastAsia="en-CA"/>
        </w:rPr>
        <w:t>) sans la partie sur les trois solutions possibles (pages</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2-3).</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Demandez aux élèves de remplir la première partie «</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Décrivez comment vous vous attaqueriez à ce problème</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individuellement ou en binômes.</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Une fois qu’ils auront terminé, discutez de quelques-unes des solutions qu’ils ont suggérées, puis expliquez ce qui se passerait le plus probablement en révélant les trois pratiques les plus courantes qui ont été employées pour résoudre le problème de «</w:t>
      </w:r>
      <w:r w:rsidR="00413F62">
        <w:rPr>
          <w:rFonts w:ascii="Cambria" w:eastAsia="Cambria" w:hAnsi="Cambria" w:cs="Times New Roman"/>
          <w:color w:val="000000"/>
          <w:sz w:val="24"/>
          <w:szCs w:val="24"/>
          <w:lang w:val="fr-CA" w:eastAsia="en-CA"/>
        </w:rPr>
        <w:t> </w:t>
      </w:r>
      <w:proofErr w:type="spellStart"/>
      <w:r>
        <w:rPr>
          <w:rFonts w:ascii="Cambria" w:eastAsia="Cambria" w:hAnsi="Cambria" w:cs="Times New Roman"/>
          <w:color w:val="000000"/>
          <w:sz w:val="24"/>
          <w:szCs w:val="24"/>
          <w:lang w:val="fr-CA" w:eastAsia="en-CA"/>
        </w:rPr>
        <w:t>Val</w:t>
      </w:r>
      <w:r w:rsidR="00455DC4">
        <w:rPr>
          <w:rFonts w:ascii="Cambria" w:eastAsia="Cambria" w:hAnsi="Cambria" w:cs="Times New Roman"/>
          <w:color w:val="000000"/>
          <w:sz w:val="24"/>
          <w:szCs w:val="24"/>
          <w:lang w:val="fr-CA" w:eastAsia="en-CA"/>
        </w:rPr>
        <w:noBreakHyphen/>
      </w:r>
      <w:r>
        <w:rPr>
          <w:rFonts w:ascii="Cambria" w:eastAsia="Cambria" w:hAnsi="Cambria" w:cs="Times New Roman"/>
          <w:color w:val="000000"/>
          <w:sz w:val="24"/>
          <w:szCs w:val="24"/>
          <w:lang w:val="fr-CA" w:eastAsia="en-CA"/>
        </w:rPr>
        <w:t>Mart</w:t>
      </w:r>
      <w:proofErr w:type="spellEnd"/>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indiquées aux pages</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2-3.</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Ces scénarios illustrent combien il est difficile pour un particulier de se défendre tous seuls face aux grandes entreprises.</w:t>
      </w:r>
    </w:p>
    <w:p w14:paraId="4B97A868" w14:textId="7D1D1F15" w:rsidR="005B5B3C" w:rsidRPr="00413F62" w:rsidRDefault="00000000" w:rsidP="0014403B">
      <w:pPr>
        <w:spacing w:line="240" w:lineRule="auto"/>
        <w:rPr>
          <w:rFonts w:asciiTheme="majorHAnsi" w:eastAsia="Times New Roman" w:hAnsiTheme="majorHAnsi" w:cs="Times New Roman"/>
          <w:sz w:val="24"/>
          <w:szCs w:val="24"/>
          <w:lang w:val="fr-CA" w:eastAsia="en-CA"/>
        </w:rPr>
      </w:pPr>
      <w:r>
        <w:rPr>
          <w:rFonts w:ascii="Cambria" w:eastAsia="Cambria" w:hAnsi="Cambria" w:cs="Times New Roman"/>
          <w:bCs/>
          <w:color w:val="000000"/>
          <w:sz w:val="24"/>
          <w:szCs w:val="24"/>
          <w:lang w:val="fr-CA" w:eastAsia="en-CA"/>
        </w:rPr>
        <w:lastRenderedPageBreak/>
        <w:t xml:space="preserve">Dans </w:t>
      </w:r>
      <w:r>
        <w:rPr>
          <w:rFonts w:ascii="Cambria" w:eastAsia="Cambria" w:hAnsi="Cambria" w:cs="Times New Roman"/>
          <w:b/>
          <w:bCs/>
          <w:color w:val="000000"/>
          <w:sz w:val="24"/>
          <w:szCs w:val="24"/>
          <w:lang w:val="fr-CA" w:eastAsia="en-CA"/>
        </w:rPr>
        <w:t xml:space="preserve">l’annexe 3, </w:t>
      </w:r>
      <w:r>
        <w:rPr>
          <w:rFonts w:ascii="Cambria" w:eastAsia="Cambria" w:hAnsi="Cambria" w:cs="Times New Roman"/>
          <w:color w:val="000000"/>
          <w:sz w:val="24"/>
          <w:szCs w:val="24"/>
          <w:lang w:val="fr-CA" w:eastAsia="en-CA"/>
        </w:rPr>
        <w:t>faites lire à la classe l’article «</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Syndicalisation d’un Starbucks</w:t>
      </w:r>
      <w:r w:rsidR="00413F62">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en entier ou en partie, puis entamez une discussion.</w:t>
      </w:r>
      <w:r w:rsidR="00413F62">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Ce texte donne un exemple de la difficulté qu’ont eu les employés non syndiqués de Starbucks à obtenir les droits fondamentaux des travailleurs au Canada.</w:t>
      </w:r>
    </w:p>
    <w:p w14:paraId="14248017" w14:textId="77777777" w:rsidR="004C3367" w:rsidRPr="0014403B" w:rsidRDefault="00000000" w:rsidP="004C3367">
      <w:pPr>
        <w:spacing w:line="240" w:lineRule="auto"/>
        <w:ind w:left="567"/>
        <w:rPr>
          <w:rFonts w:asciiTheme="majorHAnsi" w:eastAsia="Times New Roman" w:hAnsiTheme="majorHAnsi" w:cs="Times New Roman"/>
          <w:lang w:val="fr-CA" w:eastAsia="en-CA"/>
        </w:rPr>
      </w:pPr>
      <w:r w:rsidRPr="0014403B">
        <w:rPr>
          <w:rFonts w:ascii="Cambria" w:eastAsia="Cambria" w:hAnsi="Cambria" w:cs="Times New Roman"/>
          <w:i/>
          <w:iCs/>
          <w:color w:val="000000"/>
          <w:u w:val="single"/>
          <w:lang w:val="fr-CA" w:eastAsia="en-CA"/>
        </w:rPr>
        <w:t>Synopsis d’Opération Solidarité :</w:t>
      </w:r>
    </w:p>
    <w:p w14:paraId="5752B1D2" w14:textId="4647E955" w:rsidR="004C3367" w:rsidRPr="0014403B" w:rsidRDefault="00000000" w:rsidP="004C3367">
      <w:pPr>
        <w:spacing w:line="240" w:lineRule="auto"/>
        <w:ind w:left="567"/>
        <w:rPr>
          <w:rFonts w:asciiTheme="majorHAnsi" w:eastAsia="Times New Roman" w:hAnsiTheme="majorHAnsi" w:cs="Times New Roman"/>
          <w:sz w:val="23"/>
          <w:szCs w:val="23"/>
          <w:lang w:val="fr-CA" w:eastAsia="en-CA"/>
        </w:rPr>
      </w:pPr>
      <w:r w:rsidRPr="0014403B">
        <w:rPr>
          <w:rFonts w:ascii="Cambria" w:eastAsia="Cambria" w:hAnsi="Cambria" w:cs="Times New Roman"/>
          <w:i/>
          <w:iCs/>
          <w:color w:val="000000"/>
          <w:sz w:val="23"/>
          <w:szCs w:val="23"/>
          <w:lang w:val="fr-CA" w:eastAsia="en-CA"/>
        </w:rPr>
        <w:t xml:space="preserve">En 1983, le gouvernement conservateur du Crédit </w:t>
      </w:r>
      <w:r w:rsidR="00455DC4" w:rsidRPr="0014403B">
        <w:rPr>
          <w:rFonts w:ascii="Cambria" w:eastAsia="Cambria" w:hAnsi="Cambria" w:cs="Times New Roman"/>
          <w:i/>
          <w:iCs/>
          <w:color w:val="000000"/>
          <w:sz w:val="23"/>
          <w:szCs w:val="23"/>
          <w:lang w:val="fr-CA" w:eastAsia="en-CA"/>
        </w:rPr>
        <w:t>S</w:t>
      </w:r>
      <w:r w:rsidRPr="0014403B">
        <w:rPr>
          <w:rFonts w:ascii="Cambria" w:eastAsia="Cambria" w:hAnsi="Cambria" w:cs="Times New Roman"/>
          <w:i/>
          <w:iCs/>
          <w:color w:val="000000"/>
          <w:sz w:val="23"/>
          <w:szCs w:val="23"/>
          <w:lang w:val="fr-CA" w:eastAsia="en-CA"/>
        </w:rPr>
        <w:t xml:space="preserve">ocial, dirigé par le </w:t>
      </w:r>
      <w:r w:rsidR="00413F62" w:rsidRPr="0014403B">
        <w:rPr>
          <w:rFonts w:ascii="Cambria" w:eastAsia="Cambria" w:hAnsi="Cambria" w:cs="Times New Roman"/>
          <w:i/>
          <w:iCs/>
          <w:color w:val="000000"/>
          <w:sz w:val="23"/>
          <w:szCs w:val="23"/>
          <w:lang w:val="fr-CA" w:eastAsia="en-CA"/>
        </w:rPr>
        <w:t>p</w:t>
      </w:r>
      <w:r w:rsidRPr="0014403B">
        <w:rPr>
          <w:rFonts w:ascii="Cambria" w:eastAsia="Cambria" w:hAnsi="Cambria" w:cs="Times New Roman"/>
          <w:i/>
          <w:iCs/>
          <w:color w:val="000000"/>
          <w:sz w:val="23"/>
          <w:szCs w:val="23"/>
          <w:lang w:val="fr-CA" w:eastAsia="en-CA"/>
        </w:rPr>
        <w:t>remier ministre Bill Bennett, avait pour principales priorités un programme d</w:t>
      </w:r>
      <w:r w:rsidR="00413F62" w:rsidRPr="0014403B">
        <w:rPr>
          <w:rFonts w:ascii="Cambria" w:eastAsia="Cambria" w:hAnsi="Cambria" w:cs="Times New Roman"/>
          <w:i/>
          <w:iCs/>
          <w:color w:val="000000"/>
          <w:sz w:val="23"/>
          <w:szCs w:val="23"/>
          <w:lang w:val="fr-CA" w:eastAsia="en-CA"/>
        </w:rPr>
        <w:t>’</w:t>
      </w:r>
      <w:r w:rsidRPr="0014403B">
        <w:rPr>
          <w:rFonts w:ascii="Cambria" w:eastAsia="Cambria" w:hAnsi="Cambria" w:cs="Times New Roman"/>
          <w:i/>
          <w:iCs/>
          <w:color w:val="000000"/>
          <w:sz w:val="23"/>
          <w:szCs w:val="23"/>
          <w:lang w:val="fr-CA" w:eastAsia="en-CA"/>
        </w:rPr>
        <w:t>austérité budgétaire (ou de «</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retenue</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 xml:space="preserve">», comme il le qualifiait) ainsi que la défense des intérêts du monde des affaires et de la libre </w:t>
      </w:r>
      <w:r w:rsidR="00413F62" w:rsidRPr="0014403B">
        <w:rPr>
          <w:rFonts w:ascii="Cambria" w:eastAsia="Cambria" w:hAnsi="Cambria" w:cs="Times New Roman"/>
          <w:i/>
          <w:iCs/>
          <w:color w:val="000000"/>
          <w:sz w:val="23"/>
          <w:szCs w:val="23"/>
          <w:lang w:val="fr-CA" w:eastAsia="en-CA"/>
        </w:rPr>
        <w:t>entreprise</w:t>
      </w:r>
      <w:r w:rsidRPr="0014403B">
        <w:rPr>
          <w:rFonts w:ascii="Cambria" w:eastAsia="Cambria" w:hAnsi="Cambria" w:cs="Times New Roman"/>
          <w:i/>
          <w:iCs/>
          <w:color w:val="000000"/>
          <w:sz w:val="23"/>
          <w:szCs w:val="23"/>
          <w:lang w:val="fr-CA" w:eastAsia="en-CA"/>
        </w:rPr>
        <w:t>.</w:t>
      </w:r>
      <w:r w:rsidR="00413F62" w:rsidRPr="0014403B">
        <w:rPr>
          <w:rFonts w:ascii="Cambria" w:eastAsia="Cambria" w:hAnsi="Cambria" w:cs="Times New Roman"/>
          <w:i/>
          <w:iCs/>
          <w:color w:val="000000"/>
          <w:sz w:val="23"/>
          <w:szCs w:val="23"/>
          <w:lang w:val="fr-CA" w:eastAsia="en-CA"/>
        </w:rPr>
        <w:t xml:space="preserve"> À</w:t>
      </w:r>
      <w:r w:rsidRPr="0014403B">
        <w:rPr>
          <w:rFonts w:ascii="Cambria" w:eastAsia="Cambria" w:hAnsi="Cambria" w:cs="Times New Roman"/>
          <w:i/>
          <w:iCs/>
          <w:color w:val="000000"/>
          <w:sz w:val="23"/>
          <w:szCs w:val="23"/>
          <w:lang w:val="fr-CA" w:eastAsia="en-CA"/>
        </w:rPr>
        <w:t xml:space="preserve"> ce titre, en un seul après-midi du mois de juillet, il introduisit 26 projets de loi qui, s’ils étaient adoptés, endommageraient sérieusement la capacité des syndicats à négocier au nom de leurs membres et dépouillerai</w:t>
      </w:r>
      <w:r w:rsidR="00413F62" w:rsidRPr="0014403B">
        <w:rPr>
          <w:rFonts w:ascii="Cambria" w:eastAsia="Cambria" w:hAnsi="Cambria" w:cs="Times New Roman"/>
          <w:i/>
          <w:iCs/>
          <w:color w:val="000000"/>
          <w:sz w:val="23"/>
          <w:szCs w:val="23"/>
          <w:lang w:val="fr-CA" w:eastAsia="en-CA"/>
        </w:rPr>
        <w:t>en</w:t>
      </w:r>
      <w:r w:rsidRPr="0014403B">
        <w:rPr>
          <w:rFonts w:ascii="Cambria" w:eastAsia="Cambria" w:hAnsi="Cambria" w:cs="Times New Roman"/>
          <w:i/>
          <w:iCs/>
          <w:color w:val="000000"/>
          <w:sz w:val="23"/>
          <w:szCs w:val="23"/>
          <w:lang w:val="fr-CA" w:eastAsia="en-CA"/>
        </w:rPr>
        <w:t>t la province de nombreux mécanismes régulateurs qui protégeaient les intérêts des travailleurs et les droits de la personne.</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Parmi ces nombreux projets de loi, certains auraient éliminé dans la pratique les droits des syndicats gouvernementaux et du secteur public à négocier des normes de salaires et de presque toutes les conditions de travail au nom de leurs adhérents; d’autres auraient permis de licencier «</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sans motif</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 tout employé du secteur public, de démanteler la Comission des droits de la personne de la C.-B., de dissoudre la Commission des normes d</w:t>
      </w:r>
      <w:r w:rsidR="00413F62" w:rsidRPr="0014403B">
        <w:rPr>
          <w:rFonts w:ascii="Cambria" w:eastAsia="Cambria" w:hAnsi="Cambria" w:cs="Times New Roman"/>
          <w:i/>
          <w:iCs/>
          <w:color w:val="000000"/>
          <w:sz w:val="23"/>
          <w:szCs w:val="23"/>
          <w:lang w:val="fr-CA" w:eastAsia="en-CA"/>
        </w:rPr>
        <w:t>’</w:t>
      </w:r>
      <w:r w:rsidRPr="0014403B">
        <w:rPr>
          <w:rFonts w:ascii="Cambria" w:eastAsia="Cambria" w:hAnsi="Cambria" w:cs="Times New Roman"/>
          <w:i/>
          <w:iCs/>
          <w:color w:val="000000"/>
          <w:sz w:val="23"/>
          <w:szCs w:val="23"/>
          <w:lang w:val="fr-CA" w:eastAsia="en-CA"/>
        </w:rPr>
        <w:t>emploi et de donner à tout employeur le droit de diminuer les salaires de ses employés s’il affirmait simplement qu’il n’était pas «</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en mesure de payer</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 xml:space="preserve">». </w:t>
      </w:r>
    </w:p>
    <w:p w14:paraId="1A7C995C" w14:textId="45F4CFBB" w:rsidR="004C3367" w:rsidRPr="0014403B" w:rsidRDefault="00000000" w:rsidP="004C3367">
      <w:pPr>
        <w:spacing w:line="240" w:lineRule="auto"/>
        <w:ind w:left="567"/>
        <w:rPr>
          <w:rFonts w:asciiTheme="majorHAnsi" w:eastAsia="Times New Roman" w:hAnsiTheme="majorHAnsi" w:cs="Times New Roman"/>
          <w:sz w:val="23"/>
          <w:szCs w:val="23"/>
          <w:lang w:val="fr-CA" w:eastAsia="en-CA"/>
        </w:rPr>
      </w:pPr>
      <w:r w:rsidRPr="0014403B">
        <w:rPr>
          <w:rFonts w:ascii="Cambria" w:eastAsia="Cambria" w:hAnsi="Cambria" w:cs="Times New Roman"/>
          <w:i/>
          <w:iCs/>
          <w:color w:val="000000"/>
          <w:sz w:val="23"/>
          <w:szCs w:val="23"/>
          <w:lang w:val="fr-CA" w:eastAsia="en-CA"/>
        </w:rPr>
        <w:t>En réactions, des groupes de militants s’allièrent aux syndicats ouvriers et entamèrent un mouvement de protestation de masse.</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Celui-ci démarra avec un rassemblement de plus de 25</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000 personnes sur la pelouse du Parlement de la Colombie-Britannique.</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En août, plus de 40</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 xml:space="preserve">000 personnes prirent une journée de travail ou un congé de maladie le même jour pour se rassembler </w:t>
      </w:r>
      <w:r w:rsidR="00455DC4" w:rsidRPr="0014403B">
        <w:rPr>
          <w:rFonts w:ascii="Cambria" w:eastAsia="Cambria" w:hAnsi="Cambria" w:cs="Times New Roman"/>
          <w:i/>
          <w:iCs/>
          <w:color w:val="000000"/>
          <w:sz w:val="23"/>
          <w:szCs w:val="23"/>
          <w:lang w:val="fr-CA" w:eastAsia="en-CA"/>
        </w:rPr>
        <w:t>à l’</w:t>
      </w:r>
      <w:r w:rsidRPr="0014403B">
        <w:rPr>
          <w:rFonts w:ascii="Cambria" w:eastAsia="Cambria" w:hAnsi="Cambria" w:cs="Times New Roman"/>
          <w:i/>
          <w:iCs/>
          <w:color w:val="000000"/>
          <w:sz w:val="23"/>
          <w:szCs w:val="23"/>
          <w:lang w:val="fr-CA" w:eastAsia="en-CA"/>
        </w:rPr>
        <w:t>Empire</w:t>
      </w:r>
      <w:r w:rsidR="00455DC4" w:rsidRPr="0014403B">
        <w:rPr>
          <w:rFonts w:ascii="Cambria" w:eastAsia="Cambria" w:hAnsi="Cambria" w:cs="Times New Roman"/>
          <w:i/>
          <w:iCs/>
          <w:color w:val="000000"/>
          <w:sz w:val="23"/>
          <w:szCs w:val="23"/>
          <w:lang w:val="fr-CA" w:eastAsia="en-CA"/>
        </w:rPr>
        <w:t xml:space="preserve"> Stadium</w:t>
      </w:r>
      <w:r w:rsidRPr="0014403B">
        <w:rPr>
          <w:rFonts w:ascii="Cambria" w:eastAsia="Cambria" w:hAnsi="Cambria" w:cs="Times New Roman"/>
          <w:i/>
          <w:iCs/>
          <w:color w:val="000000"/>
          <w:sz w:val="23"/>
          <w:szCs w:val="23"/>
          <w:lang w:val="fr-CA" w:eastAsia="en-CA"/>
        </w:rPr>
        <w:t>, entraînant ainsi la fermeture de certains services gouvernementaux et causant une vive impression sur le public par cette démonstration de masse.</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Des protestations eurent lieu dans plusieurs villes de la province, y compris dans des bastions traditionnels du parti créditiste.</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Puis, au cours de la convention du Parti</w:t>
      </w:r>
      <w:r w:rsidR="00455DC4" w:rsidRPr="0014403B">
        <w:rPr>
          <w:rFonts w:ascii="Cambria" w:eastAsia="Cambria" w:hAnsi="Cambria" w:cs="Times New Roman"/>
          <w:i/>
          <w:iCs/>
          <w:color w:val="000000"/>
          <w:sz w:val="23"/>
          <w:szCs w:val="23"/>
          <w:lang w:val="fr-CA" w:eastAsia="en-CA"/>
        </w:rPr>
        <w:t xml:space="preserve"> du</w:t>
      </w:r>
      <w:r w:rsidRPr="0014403B">
        <w:rPr>
          <w:rFonts w:ascii="Cambria" w:eastAsia="Cambria" w:hAnsi="Cambria" w:cs="Times New Roman"/>
          <w:i/>
          <w:iCs/>
          <w:color w:val="000000"/>
          <w:sz w:val="23"/>
          <w:szCs w:val="23"/>
          <w:lang w:val="fr-CA" w:eastAsia="en-CA"/>
        </w:rPr>
        <w:t xml:space="preserve"> Crédit </w:t>
      </w:r>
      <w:r w:rsidR="00455DC4" w:rsidRPr="0014403B">
        <w:rPr>
          <w:rFonts w:ascii="Cambria" w:eastAsia="Cambria" w:hAnsi="Cambria" w:cs="Times New Roman"/>
          <w:i/>
          <w:iCs/>
          <w:color w:val="000000"/>
          <w:sz w:val="23"/>
          <w:szCs w:val="23"/>
          <w:lang w:val="fr-CA" w:eastAsia="en-CA"/>
        </w:rPr>
        <w:t>S</w:t>
      </w:r>
      <w:r w:rsidRPr="0014403B">
        <w:rPr>
          <w:rFonts w:ascii="Cambria" w:eastAsia="Cambria" w:hAnsi="Cambria" w:cs="Times New Roman"/>
          <w:i/>
          <w:iCs/>
          <w:color w:val="000000"/>
          <w:sz w:val="23"/>
          <w:szCs w:val="23"/>
          <w:lang w:val="fr-CA" w:eastAsia="en-CA"/>
        </w:rPr>
        <w:t>ocial, 60</w:t>
      </w:r>
      <w:r w:rsidR="00413F62" w:rsidRPr="0014403B">
        <w:rPr>
          <w:rFonts w:ascii="Cambria" w:eastAsia="Cambria" w:hAnsi="Cambria" w:cs="Times New Roman"/>
          <w:i/>
          <w:iCs/>
          <w:color w:val="000000"/>
          <w:sz w:val="23"/>
          <w:szCs w:val="23"/>
          <w:lang w:val="fr-CA" w:eastAsia="en-CA"/>
        </w:rPr>
        <w:t> </w:t>
      </w:r>
      <w:r w:rsidRPr="0014403B">
        <w:rPr>
          <w:rFonts w:ascii="Cambria" w:eastAsia="Cambria" w:hAnsi="Cambria" w:cs="Times New Roman"/>
          <w:i/>
          <w:iCs/>
          <w:color w:val="000000"/>
          <w:sz w:val="23"/>
          <w:szCs w:val="23"/>
          <w:lang w:val="fr-CA" w:eastAsia="en-CA"/>
        </w:rPr>
        <w:t>000 protestataires se dirigèrent vers l’hôtel où elle se tenait au centre-ville de Vancouver et l’encerclèrent.</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Ce fut la plus grande manifestation de l</w:t>
      </w:r>
      <w:r w:rsidR="00413F62" w:rsidRPr="0014403B">
        <w:rPr>
          <w:rFonts w:ascii="Cambria" w:eastAsia="Cambria" w:hAnsi="Cambria" w:cs="Times New Roman"/>
          <w:i/>
          <w:iCs/>
          <w:color w:val="000000"/>
          <w:sz w:val="23"/>
          <w:szCs w:val="23"/>
          <w:lang w:val="fr-CA" w:eastAsia="en-CA"/>
        </w:rPr>
        <w:t>’</w:t>
      </w:r>
      <w:r w:rsidRPr="0014403B">
        <w:rPr>
          <w:rFonts w:ascii="Cambria" w:eastAsia="Cambria" w:hAnsi="Cambria" w:cs="Times New Roman"/>
          <w:i/>
          <w:iCs/>
          <w:color w:val="000000"/>
          <w:sz w:val="23"/>
          <w:szCs w:val="23"/>
          <w:lang w:val="fr-CA" w:eastAsia="en-CA"/>
        </w:rPr>
        <w:t>histoire de la Colombie-Britannique, et elle détient encore ce record.</w:t>
      </w:r>
    </w:p>
    <w:p w14:paraId="3914309E" w14:textId="326F21E7" w:rsidR="004C3367" w:rsidRPr="0014403B" w:rsidRDefault="00000000" w:rsidP="004C3367">
      <w:pPr>
        <w:spacing w:line="240" w:lineRule="auto"/>
        <w:ind w:left="567"/>
        <w:rPr>
          <w:rFonts w:asciiTheme="majorHAnsi" w:eastAsia="Times New Roman" w:hAnsiTheme="majorHAnsi" w:cs="Times New Roman"/>
          <w:sz w:val="23"/>
          <w:szCs w:val="23"/>
          <w:lang w:val="fr-CA" w:eastAsia="en-CA"/>
        </w:rPr>
      </w:pPr>
      <w:r w:rsidRPr="0014403B">
        <w:rPr>
          <w:rFonts w:ascii="Cambria" w:eastAsia="Cambria" w:hAnsi="Cambria" w:cs="Times New Roman"/>
          <w:i/>
          <w:iCs/>
          <w:color w:val="000000"/>
          <w:sz w:val="23"/>
          <w:szCs w:val="23"/>
          <w:lang w:val="fr-CA" w:eastAsia="en-CA"/>
        </w:rPr>
        <w:t xml:space="preserve">Lorsque le gouvernement eu vent du fait </w:t>
      </w:r>
      <w:r w:rsidR="00413F62" w:rsidRPr="0014403B">
        <w:rPr>
          <w:rFonts w:ascii="Cambria" w:eastAsia="Cambria" w:hAnsi="Cambria" w:cs="Times New Roman"/>
          <w:i/>
          <w:iCs/>
          <w:color w:val="000000"/>
          <w:sz w:val="23"/>
          <w:szCs w:val="23"/>
          <w:lang w:val="fr-CA" w:eastAsia="en-CA"/>
        </w:rPr>
        <w:t>qu’Opération Solidarité</w:t>
      </w:r>
      <w:r w:rsidRPr="0014403B">
        <w:rPr>
          <w:rFonts w:ascii="Cambria" w:eastAsia="Cambria" w:hAnsi="Cambria" w:cs="Times New Roman"/>
          <w:i/>
          <w:iCs/>
          <w:color w:val="000000"/>
          <w:sz w:val="23"/>
          <w:szCs w:val="23"/>
          <w:lang w:val="fr-CA" w:eastAsia="en-CA"/>
        </w:rPr>
        <w:t xml:space="preserve"> discutait de la possibilité d’une grève générale, Bennett consentit enfin à une réunion de négociation.</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 xml:space="preserve">Le dirigeant syndical et alors président de l’IWA, Jack Munroe, fut </w:t>
      </w:r>
      <w:r w:rsidR="00413F62" w:rsidRPr="0014403B">
        <w:rPr>
          <w:rFonts w:ascii="Cambria" w:eastAsia="Cambria" w:hAnsi="Cambria" w:cs="Times New Roman"/>
          <w:i/>
          <w:iCs/>
          <w:color w:val="000000"/>
          <w:sz w:val="23"/>
          <w:szCs w:val="23"/>
          <w:lang w:val="fr-CA" w:eastAsia="en-CA"/>
        </w:rPr>
        <w:t>choisi</w:t>
      </w:r>
      <w:r w:rsidRPr="0014403B">
        <w:rPr>
          <w:rFonts w:ascii="Cambria" w:eastAsia="Cambria" w:hAnsi="Cambria" w:cs="Times New Roman"/>
          <w:i/>
          <w:iCs/>
          <w:color w:val="000000"/>
          <w:sz w:val="23"/>
          <w:szCs w:val="23"/>
          <w:lang w:val="fr-CA" w:eastAsia="en-CA"/>
        </w:rPr>
        <w:t xml:space="preserve"> pour cette rencontre.</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Après des négociations tendues, ils parvinrent à un accord.</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Une grande partie des lois proposées, mais pas toutes, furent éliminées.</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Beaucoup, en particulier dans les cercles syndicalistes, furent satisfaits, mais bien d’autres pensèrent que ce n’était pas assez.</w:t>
      </w:r>
      <w:r w:rsidR="00413F62" w:rsidRPr="0014403B">
        <w:rPr>
          <w:rFonts w:ascii="Cambria" w:eastAsia="Cambria" w:hAnsi="Cambria" w:cs="Times New Roman"/>
          <w:i/>
          <w:iCs/>
          <w:color w:val="000000"/>
          <w:sz w:val="23"/>
          <w:szCs w:val="23"/>
          <w:lang w:val="fr-CA" w:eastAsia="en-CA"/>
        </w:rPr>
        <w:t xml:space="preserve"> </w:t>
      </w:r>
      <w:r w:rsidRPr="0014403B">
        <w:rPr>
          <w:rFonts w:ascii="Cambria" w:eastAsia="Cambria" w:hAnsi="Cambria" w:cs="Times New Roman"/>
          <w:i/>
          <w:iCs/>
          <w:color w:val="000000"/>
          <w:sz w:val="23"/>
          <w:szCs w:val="23"/>
          <w:lang w:val="fr-CA" w:eastAsia="en-CA"/>
        </w:rPr>
        <w:t>Dans tous les cas, la grève générale fut évitée et les droits de convention collective des syndicats furent ainsi préservés.</w:t>
      </w:r>
    </w:p>
    <w:p w14:paraId="569A0134" w14:textId="16FA0B13" w:rsidR="004C3367" w:rsidRPr="0014403B" w:rsidRDefault="00000000" w:rsidP="004C3367">
      <w:pPr>
        <w:spacing w:after="120" w:line="240" w:lineRule="auto"/>
        <w:ind w:left="567"/>
        <w:outlineLvl w:val="1"/>
        <w:rPr>
          <w:rFonts w:ascii="Cambria" w:eastAsia="Cambria" w:hAnsi="Cambria" w:cs="Times New Roman"/>
          <w:i/>
          <w:iCs/>
          <w:color w:val="000000"/>
          <w:sz w:val="20"/>
          <w:szCs w:val="20"/>
          <w:lang w:val="fr-CA" w:eastAsia="en-CA"/>
        </w:rPr>
      </w:pPr>
      <w:r w:rsidRPr="0014403B">
        <w:rPr>
          <w:rFonts w:ascii="Cambria" w:eastAsia="Cambria" w:hAnsi="Cambria" w:cs="Times New Roman"/>
          <w:i/>
          <w:iCs/>
          <w:color w:val="000000"/>
          <w:sz w:val="20"/>
          <w:szCs w:val="20"/>
          <w:lang w:val="fr-CA" w:eastAsia="en-CA"/>
        </w:rPr>
        <w:t>Pour une description plus détaillée de la crise de Solidarité de 1983, lire l’article de Rod</w:t>
      </w:r>
      <w:r w:rsidR="00455DC4" w:rsidRPr="0014403B">
        <w:rPr>
          <w:rFonts w:ascii="Cambria" w:eastAsia="Cambria" w:hAnsi="Cambria" w:cs="Times New Roman"/>
          <w:i/>
          <w:iCs/>
          <w:color w:val="000000"/>
          <w:sz w:val="20"/>
          <w:szCs w:val="20"/>
          <w:lang w:val="fr-CA" w:eastAsia="en-CA"/>
        </w:rPr>
        <w:t> </w:t>
      </w:r>
      <w:proofErr w:type="spellStart"/>
      <w:r w:rsidRPr="0014403B">
        <w:rPr>
          <w:rFonts w:ascii="Cambria" w:eastAsia="Cambria" w:hAnsi="Cambria" w:cs="Times New Roman"/>
          <w:i/>
          <w:iCs/>
          <w:color w:val="000000"/>
          <w:sz w:val="20"/>
          <w:szCs w:val="20"/>
          <w:lang w:val="fr-CA" w:eastAsia="en-CA"/>
        </w:rPr>
        <w:t>Mickleburgh</w:t>
      </w:r>
      <w:proofErr w:type="spellEnd"/>
      <w:r w:rsidRPr="0014403B">
        <w:rPr>
          <w:rFonts w:ascii="Cambria" w:eastAsia="Cambria" w:hAnsi="Cambria" w:cs="Times New Roman"/>
          <w:i/>
          <w:iCs/>
          <w:color w:val="000000"/>
          <w:sz w:val="20"/>
          <w:szCs w:val="20"/>
          <w:lang w:val="fr-CA" w:eastAsia="en-CA"/>
        </w:rPr>
        <w:t xml:space="preserve"> dans le Globe and Mail «</w:t>
      </w:r>
      <w:r w:rsidR="00413F62" w:rsidRPr="0014403B">
        <w:rPr>
          <w:rFonts w:ascii="Cambria" w:eastAsia="Cambria" w:hAnsi="Cambria" w:cs="Times New Roman"/>
          <w:i/>
          <w:iCs/>
          <w:color w:val="000000"/>
          <w:sz w:val="20"/>
          <w:szCs w:val="20"/>
          <w:lang w:val="fr-CA" w:eastAsia="en-CA"/>
        </w:rPr>
        <w:t> Vingt-cinq ans plus tard : comment le gouffre fut évité </w:t>
      </w:r>
      <w:r w:rsidRPr="0014403B">
        <w:rPr>
          <w:rFonts w:ascii="Cambria" w:eastAsia="Cambria" w:hAnsi="Cambria" w:cs="Times New Roman"/>
          <w:i/>
          <w:iCs/>
          <w:color w:val="000000"/>
          <w:sz w:val="20"/>
          <w:szCs w:val="20"/>
          <w:lang w:val="fr-CA" w:eastAsia="en-CA"/>
        </w:rPr>
        <w:t xml:space="preserve">» </w:t>
      </w:r>
      <w:r w:rsidRPr="0014403B">
        <w:rPr>
          <w:rFonts w:ascii="Cambria" w:eastAsia="Cambria" w:hAnsi="Cambria" w:cs="Times New Roman"/>
          <w:b/>
          <w:bCs/>
          <w:i/>
          <w:iCs/>
          <w:color w:val="000000"/>
          <w:sz w:val="20"/>
          <w:szCs w:val="20"/>
          <w:lang w:val="fr-CA" w:eastAsia="en-CA"/>
        </w:rPr>
        <w:t>(annexe 2)</w:t>
      </w:r>
      <w:r w:rsidRPr="0014403B">
        <w:rPr>
          <w:rFonts w:ascii="Cambria" w:eastAsia="Cambria" w:hAnsi="Cambria" w:cs="Times New Roman"/>
          <w:i/>
          <w:iCs/>
          <w:color w:val="000000"/>
          <w:sz w:val="20"/>
          <w:szCs w:val="20"/>
          <w:lang w:val="fr-CA" w:eastAsia="en-CA"/>
        </w:rPr>
        <w:t>.</w:t>
      </w:r>
    </w:p>
    <w:p w14:paraId="7AA693B0" w14:textId="77777777" w:rsidR="0014403B" w:rsidRDefault="0014403B" w:rsidP="00357851">
      <w:pPr>
        <w:autoSpaceDE w:val="0"/>
        <w:autoSpaceDN w:val="0"/>
        <w:adjustRightInd w:val="0"/>
        <w:spacing w:after="0" w:line="240" w:lineRule="auto"/>
        <w:rPr>
          <w:rFonts w:ascii="Times New Roman" w:eastAsia="Times New Roman" w:hAnsi="Times New Roman" w:cs="Times New Roman"/>
          <w:color w:val="000000"/>
          <w:sz w:val="20"/>
          <w:szCs w:val="20"/>
          <w:lang w:val="fr-CA"/>
        </w:rPr>
      </w:pPr>
    </w:p>
    <w:p w14:paraId="419DA81B" w14:textId="77777777" w:rsidR="0014403B" w:rsidRDefault="0014403B" w:rsidP="00357851">
      <w:pPr>
        <w:autoSpaceDE w:val="0"/>
        <w:autoSpaceDN w:val="0"/>
        <w:adjustRightInd w:val="0"/>
        <w:spacing w:after="0" w:line="240" w:lineRule="auto"/>
        <w:rPr>
          <w:rFonts w:ascii="Times New Roman" w:eastAsia="Times New Roman" w:hAnsi="Times New Roman" w:cs="Times New Roman"/>
          <w:color w:val="000000"/>
          <w:sz w:val="20"/>
          <w:szCs w:val="20"/>
          <w:lang w:val="fr-CA"/>
        </w:rPr>
      </w:pPr>
    </w:p>
    <w:p w14:paraId="2A4362E9" w14:textId="637CB0F6" w:rsidR="00357851" w:rsidRPr="0014403B" w:rsidRDefault="00000000" w:rsidP="00357851">
      <w:pPr>
        <w:autoSpaceDE w:val="0"/>
        <w:autoSpaceDN w:val="0"/>
        <w:adjustRightInd w:val="0"/>
        <w:spacing w:after="0" w:line="240" w:lineRule="auto"/>
        <w:rPr>
          <w:rFonts w:ascii="Times New Roman" w:hAnsi="Times New Roman" w:cs="Times New Roman"/>
          <w:color w:val="000000"/>
          <w:sz w:val="20"/>
          <w:szCs w:val="20"/>
          <w:lang w:val="fr-CA"/>
        </w:rPr>
      </w:pPr>
      <w:r w:rsidRPr="0014403B">
        <w:rPr>
          <w:rFonts w:ascii="Times New Roman" w:eastAsia="Times New Roman" w:hAnsi="Times New Roman" w:cs="Times New Roman"/>
          <w:color w:val="000000"/>
          <w:sz w:val="20"/>
          <w:szCs w:val="20"/>
          <w:lang w:val="fr-CA"/>
        </w:rPr>
        <w:t xml:space="preserve">Rod </w:t>
      </w:r>
      <w:proofErr w:type="spellStart"/>
      <w:r w:rsidRPr="0014403B">
        <w:rPr>
          <w:rFonts w:ascii="Times New Roman" w:eastAsia="Times New Roman" w:hAnsi="Times New Roman" w:cs="Times New Roman"/>
          <w:color w:val="000000"/>
          <w:sz w:val="20"/>
          <w:szCs w:val="20"/>
          <w:lang w:val="fr-CA"/>
        </w:rPr>
        <w:t>Mickleburgh</w:t>
      </w:r>
      <w:proofErr w:type="spellEnd"/>
      <w:r w:rsidRPr="0014403B">
        <w:rPr>
          <w:rFonts w:ascii="Times New Roman" w:eastAsia="Times New Roman" w:hAnsi="Times New Roman" w:cs="Times New Roman"/>
          <w:color w:val="000000"/>
          <w:sz w:val="20"/>
          <w:szCs w:val="20"/>
          <w:lang w:val="fr-CA"/>
        </w:rPr>
        <w:t>, «</w:t>
      </w:r>
      <w:r w:rsidR="00413F62" w:rsidRPr="0014403B">
        <w:rPr>
          <w:rFonts w:ascii="Times New Roman" w:eastAsia="Times New Roman" w:hAnsi="Times New Roman" w:cs="Times New Roman"/>
          <w:color w:val="000000"/>
          <w:sz w:val="20"/>
          <w:szCs w:val="20"/>
          <w:lang w:val="fr-CA"/>
        </w:rPr>
        <w:t> </w:t>
      </w:r>
      <w:r w:rsidRPr="0014403B">
        <w:rPr>
          <w:rFonts w:ascii="Times New Roman" w:eastAsia="Times New Roman" w:hAnsi="Times New Roman" w:cs="Times New Roman"/>
          <w:color w:val="000000"/>
          <w:sz w:val="20"/>
          <w:szCs w:val="20"/>
          <w:lang w:val="fr-CA"/>
        </w:rPr>
        <w:t>Vingt-cinq ans plus tard :</w:t>
      </w:r>
      <w:r w:rsidR="00413F62" w:rsidRPr="0014403B">
        <w:rPr>
          <w:rFonts w:ascii="Times New Roman" w:eastAsia="Times New Roman" w:hAnsi="Times New Roman" w:cs="Times New Roman"/>
          <w:color w:val="000000"/>
          <w:sz w:val="20"/>
          <w:szCs w:val="20"/>
          <w:lang w:val="fr-CA"/>
        </w:rPr>
        <w:t xml:space="preserve"> </w:t>
      </w:r>
      <w:r w:rsidRPr="0014403B">
        <w:rPr>
          <w:rFonts w:ascii="Times New Roman" w:eastAsia="Times New Roman" w:hAnsi="Times New Roman" w:cs="Times New Roman"/>
          <w:color w:val="000000"/>
          <w:sz w:val="20"/>
          <w:szCs w:val="20"/>
          <w:lang w:val="fr-CA"/>
        </w:rPr>
        <w:t>comment le gouffre fut évité</w:t>
      </w:r>
      <w:proofErr w:type="gramStart"/>
      <w:r w:rsidR="00413F62" w:rsidRPr="0014403B">
        <w:rPr>
          <w:rFonts w:ascii="Times New Roman" w:eastAsia="Times New Roman" w:hAnsi="Times New Roman" w:cs="Times New Roman"/>
          <w:color w:val="000000"/>
          <w:sz w:val="20"/>
          <w:szCs w:val="20"/>
          <w:lang w:val="fr-CA"/>
        </w:rPr>
        <w:t> </w:t>
      </w:r>
      <w:r w:rsidRPr="0014403B">
        <w:rPr>
          <w:rFonts w:ascii="Times New Roman" w:eastAsia="Times New Roman" w:hAnsi="Times New Roman" w:cs="Times New Roman"/>
          <w:color w:val="000000"/>
          <w:sz w:val="20"/>
          <w:szCs w:val="20"/>
          <w:lang w:val="fr-CA"/>
        </w:rPr>
        <w:t>»</w:t>
      </w:r>
      <w:r w:rsidRPr="0014403B">
        <w:rPr>
          <w:rFonts w:ascii="Times New Roman" w:eastAsia="Times New Roman" w:hAnsi="Times New Roman" w:cs="Times New Roman"/>
          <w:i/>
          <w:iCs/>
          <w:color w:val="000000"/>
          <w:sz w:val="20"/>
          <w:szCs w:val="20"/>
          <w:lang w:val="en-US"/>
        </w:rPr>
        <w:t>Globe</w:t>
      </w:r>
      <w:proofErr w:type="gramEnd"/>
      <w:r w:rsidRPr="0014403B">
        <w:rPr>
          <w:rFonts w:ascii="Times New Roman" w:eastAsia="Times New Roman" w:hAnsi="Times New Roman" w:cs="Times New Roman"/>
          <w:i/>
          <w:iCs/>
          <w:color w:val="000000"/>
          <w:sz w:val="20"/>
          <w:szCs w:val="20"/>
          <w:lang w:val="en-US"/>
        </w:rPr>
        <w:t xml:space="preserve"> And Mail</w:t>
      </w:r>
      <w:r w:rsidRPr="0014403B">
        <w:rPr>
          <w:rFonts w:ascii="Times New Roman" w:eastAsia="Times New Roman" w:hAnsi="Times New Roman" w:cs="Times New Roman"/>
          <w:color w:val="000000"/>
          <w:sz w:val="20"/>
          <w:szCs w:val="20"/>
          <w:lang w:val="en-US"/>
        </w:rPr>
        <w:t>, 1</w:t>
      </w:r>
      <w:r w:rsidRPr="0014403B">
        <w:rPr>
          <w:rFonts w:ascii="Times New Roman" w:eastAsia="Times New Roman" w:hAnsi="Times New Roman" w:cs="Times New Roman"/>
          <w:color w:val="000000"/>
          <w:sz w:val="20"/>
          <w:szCs w:val="20"/>
          <w:vertAlign w:val="superscript"/>
          <w:lang w:val="en-US"/>
        </w:rPr>
        <w:t>er</w:t>
      </w:r>
      <w:r w:rsidRPr="0014403B">
        <w:rPr>
          <w:rFonts w:ascii="Times New Roman" w:eastAsia="Times New Roman" w:hAnsi="Times New Roman" w:cs="Times New Roman"/>
          <w:color w:val="000000"/>
          <w:sz w:val="20"/>
          <w:szCs w:val="20"/>
          <w:lang w:val="en-US"/>
        </w:rPr>
        <w:t> </w:t>
      </w:r>
      <w:proofErr w:type="spellStart"/>
      <w:r w:rsidRPr="0014403B">
        <w:rPr>
          <w:rFonts w:ascii="Times New Roman" w:eastAsia="Times New Roman" w:hAnsi="Times New Roman" w:cs="Times New Roman"/>
          <w:color w:val="000000"/>
          <w:sz w:val="20"/>
          <w:szCs w:val="20"/>
          <w:lang w:val="en-US"/>
        </w:rPr>
        <w:t>novembre</w:t>
      </w:r>
      <w:proofErr w:type="spellEnd"/>
      <w:r w:rsidRPr="0014403B">
        <w:rPr>
          <w:rFonts w:ascii="Times New Roman" w:eastAsia="Times New Roman" w:hAnsi="Times New Roman" w:cs="Times New Roman"/>
          <w:color w:val="000000"/>
          <w:sz w:val="20"/>
          <w:szCs w:val="20"/>
          <w:lang w:val="en-US"/>
        </w:rPr>
        <w:t> 2008</w:t>
      </w:r>
    </w:p>
    <w:p w14:paraId="1D9D1AB0" w14:textId="5846EC5F" w:rsidR="005E3009" w:rsidRPr="0014403B" w:rsidRDefault="00000000" w:rsidP="0014403B">
      <w:pPr>
        <w:spacing w:line="240" w:lineRule="auto"/>
        <w:rPr>
          <w:sz w:val="20"/>
          <w:szCs w:val="20"/>
        </w:rPr>
      </w:pPr>
      <w:hyperlink r:id="rId7" w:history="1">
        <w:r w:rsidRPr="0014403B">
          <w:rPr>
            <w:rFonts w:ascii="Calibri" w:eastAsia="Calibri" w:hAnsi="Calibri" w:cs="Times New Roman"/>
            <w:color w:val="0000FF"/>
            <w:sz w:val="20"/>
            <w:szCs w:val="20"/>
            <w:u w:val="single"/>
            <w:lang w:val="en-US"/>
          </w:rPr>
          <w:t>http://www.theglobeandmail.com/news/national/back-from-the-brink-25-years-later/article20389444/?service=print</w:t>
        </w:r>
      </w:hyperlink>
    </w:p>
    <w:sectPr w:rsidR="005E3009" w:rsidRPr="0014403B" w:rsidSect="00003648">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28A1D" w14:textId="77777777" w:rsidR="006B71B5" w:rsidRDefault="006B71B5">
      <w:pPr>
        <w:spacing w:after="0" w:line="240" w:lineRule="auto"/>
      </w:pPr>
      <w:r>
        <w:separator/>
      </w:r>
    </w:p>
  </w:endnote>
  <w:endnote w:type="continuationSeparator" w:id="0">
    <w:p w14:paraId="46D381A8" w14:textId="77777777" w:rsidR="006B71B5" w:rsidRDefault="006B7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3EF51" w14:textId="723098AE" w:rsidR="00370D0D" w:rsidRPr="00693EE9" w:rsidRDefault="00000000" w:rsidP="00370D0D">
    <w:pPr>
      <w:pStyle w:val="Footer"/>
      <w:pBdr>
        <w:top w:val="thinThickSmallGap" w:sz="24" w:space="1" w:color="622423" w:themeColor="accent2" w:themeShade="7F"/>
      </w:pBdr>
      <w:jc w:val="center"/>
      <w:rPr>
        <w:rFonts w:asciiTheme="majorHAnsi" w:hAnsiTheme="majorHAnsi"/>
        <w:sz w:val="18"/>
        <w:szCs w:val="18"/>
        <w:lang w:val="fr-CA"/>
      </w:rPr>
    </w:pPr>
    <w:r>
      <w:rPr>
        <w:rFonts w:ascii="Cambria" w:eastAsia="Cambria" w:hAnsi="Cambria" w:cs="Times New Roman"/>
        <w:i/>
        <w:iCs/>
        <w:sz w:val="16"/>
        <w:szCs w:val="16"/>
        <w:lang w:val="fr-CA"/>
      </w:rPr>
      <w:t>2024-0</w:t>
    </w:r>
    <w:r w:rsidR="00F01BB1">
      <w:rPr>
        <w:rFonts w:ascii="Cambria" w:eastAsia="Cambria" w:hAnsi="Cambria" w:cs="Times New Roman"/>
        <w:i/>
        <w:iCs/>
        <w:sz w:val="16"/>
        <w:szCs w:val="16"/>
        <w:lang w:val="fr-CA"/>
      </w:rPr>
      <w:t>6</w:t>
    </w:r>
    <w:r>
      <w:rPr>
        <w:rFonts w:ascii="Cambria" w:eastAsia="Cambria" w:hAnsi="Cambria" w:cs="Times New Roman"/>
        <w:i/>
        <w:iCs/>
        <w:sz w:val="16"/>
        <w:szCs w:val="16"/>
        <w:lang w:val="fr-CA"/>
      </w:rPr>
      <w:t>4-</w:t>
    </w:r>
    <w:proofErr w:type="gramStart"/>
    <w:r w:rsidR="00F01BB1">
      <w:rPr>
        <w:rFonts w:ascii="Cambria" w:eastAsia="Cambria" w:hAnsi="Cambria" w:cs="Times New Roman"/>
        <w:i/>
        <w:iCs/>
        <w:sz w:val="16"/>
        <w:szCs w:val="16"/>
        <w:lang w:val="fr-CA"/>
      </w:rPr>
      <w:t xml:space="preserve">26 </w:t>
    </w:r>
    <w:r>
      <w:rPr>
        <w:rFonts w:ascii="Cambria" w:eastAsia="Cambria" w:hAnsi="Cambria" w:cs="Times New Roman"/>
        <w:i/>
        <w:iCs/>
        <w:sz w:val="16"/>
        <w:szCs w:val="16"/>
        <w:lang w:val="fr-CA"/>
      </w:rPr>
      <w:t xml:space="preserve"> </w:t>
    </w:r>
    <w:r>
      <w:rPr>
        <w:rFonts w:ascii="Cambria" w:eastAsia="Cambria" w:hAnsi="Cambria" w:cs="Times New Roman"/>
        <w:sz w:val="18"/>
        <w:szCs w:val="18"/>
        <w:lang w:val="fr-CA"/>
      </w:rPr>
      <w:t>Projet</w:t>
    </w:r>
    <w:proofErr w:type="gramEnd"/>
    <w:r>
      <w:rPr>
        <w:rFonts w:ascii="Cambria" w:eastAsia="Cambria" w:hAnsi="Cambria" w:cs="Times New Roman"/>
        <w:sz w:val="18"/>
        <w:szCs w:val="18"/>
        <w:lang w:val="fr-CA"/>
      </w:rPr>
      <w:t xml:space="preserve"> sur l’histoire du mouvement ouvrier : un partenariat entre le Labour Héritage Centre et la FECB </w:t>
    </w:r>
    <w:r>
      <w:ptab w:relativeTo="margin" w:alignment="right" w:leader="none"/>
    </w:r>
    <w:r>
      <w:rPr>
        <w:rFonts w:ascii="Cambria" w:eastAsia="Cambria" w:hAnsi="Cambria" w:cs="Times New Roman"/>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sidRPr="00413F62">
      <w:rPr>
        <w:rFonts w:asciiTheme="majorHAnsi" w:hAnsiTheme="majorHAnsi"/>
        <w:i/>
        <w:iCs/>
        <w:noProof/>
        <w:sz w:val="16"/>
        <w:szCs w:val="16"/>
        <w:lang w:val="fr-CA"/>
      </w:rPr>
      <w:t>2</w:t>
    </w:r>
    <w:r w:rsidRPr="00357704">
      <w:rPr>
        <w:rFonts w:asciiTheme="majorHAnsi" w:hAnsiTheme="majorHAnsi"/>
        <w:i/>
        <w:iCs/>
        <w:noProof/>
        <w:sz w:val="16"/>
        <w:szCs w:val="16"/>
      </w:rPr>
      <w:fldChar w:fldCharType="end"/>
    </w:r>
  </w:p>
  <w:p w14:paraId="3D776C9A" w14:textId="77777777" w:rsidR="005A3381" w:rsidRPr="00413F62"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D20D0" w14:textId="77777777" w:rsidR="006B71B5" w:rsidRDefault="006B71B5">
      <w:pPr>
        <w:spacing w:after="0" w:line="240" w:lineRule="auto"/>
      </w:pPr>
      <w:r>
        <w:separator/>
      </w:r>
    </w:p>
  </w:footnote>
  <w:footnote w:type="continuationSeparator" w:id="0">
    <w:p w14:paraId="6E84723C" w14:textId="77777777" w:rsidR="006B71B5" w:rsidRDefault="006B71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94A50" w14:textId="55442C20" w:rsidR="005E3009" w:rsidRPr="00413F62" w:rsidRDefault="00000000">
    <w:pPr>
      <w:pStyle w:val="Header"/>
      <w:pBdr>
        <w:bottom w:val="thickThinSmallGap" w:sz="24" w:space="1" w:color="622423" w:themeColor="accent2" w:themeShade="7F"/>
      </w:pBdr>
      <w:jc w:val="center"/>
      <w:rPr>
        <w:rFonts w:asciiTheme="majorHAnsi" w:eastAsiaTheme="majorEastAsia" w:hAnsiTheme="majorHAnsi" w:cstheme="majorBidi"/>
        <w:sz w:val="28"/>
        <w:szCs w:val="28"/>
        <w:lang w:val="fr-CA"/>
      </w:rPr>
    </w:pPr>
    <w:r w:rsidRPr="00413F62">
      <w:rPr>
        <w:rFonts w:ascii="Cambria" w:eastAsia="Cambria" w:hAnsi="Cambria" w:cs="Times New Roman"/>
        <w:sz w:val="28"/>
        <w:szCs w:val="28"/>
        <w:lang w:val="fr-CA"/>
      </w:rPr>
      <w:t>Les travailleurs : histoire du mouvement ouvrier en Colombie-Britannique</w:t>
    </w:r>
  </w:p>
  <w:p w14:paraId="75B4D778" w14:textId="77777777" w:rsidR="005A3381" w:rsidRPr="00413F62"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21CCCFF6">
      <w:start w:val="1"/>
      <w:numFmt w:val="decimal"/>
      <w:lvlText w:val="%1."/>
      <w:lvlJc w:val="left"/>
      <w:pPr>
        <w:ind w:left="720" w:hanging="360"/>
      </w:pPr>
    </w:lvl>
    <w:lvl w:ilvl="1" w:tplc="A21EFEBC" w:tentative="1">
      <w:start w:val="1"/>
      <w:numFmt w:val="lowerLetter"/>
      <w:lvlText w:val="%2."/>
      <w:lvlJc w:val="left"/>
      <w:pPr>
        <w:ind w:left="1440" w:hanging="360"/>
      </w:pPr>
    </w:lvl>
    <w:lvl w:ilvl="2" w:tplc="1780EA10" w:tentative="1">
      <w:start w:val="1"/>
      <w:numFmt w:val="lowerRoman"/>
      <w:lvlText w:val="%3."/>
      <w:lvlJc w:val="right"/>
      <w:pPr>
        <w:ind w:left="2160" w:hanging="180"/>
      </w:pPr>
    </w:lvl>
    <w:lvl w:ilvl="3" w:tplc="ECD081A6" w:tentative="1">
      <w:start w:val="1"/>
      <w:numFmt w:val="decimal"/>
      <w:lvlText w:val="%4."/>
      <w:lvlJc w:val="left"/>
      <w:pPr>
        <w:ind w:left="2880" w:hanging="360"/>
      </w:pPr>
    </w:lvl>
    <w:lvl w:ilvl="4" w:tplc="5FB8901A" w:tentative="1">
      <w:start w:val="1"/>
      <w:numFmt w:val="lowerLetter"/>
      <w:lvlText w:val="%5."/>
      <w:lvlJc w:val="left"/>
      <w:pPr>
        <w:ind w:left="3600" w:hanging="360"/>
      </w:pPr>
    </w:lvl>
    <w:lvl w:ilvl="5" w:tplc="D572347C" w:tentative="1">
      <w:start w:val="1"/>
      <w:numFmt w:val="lowerRoman"/>
      <w:lvlText w:val="%6."/>
      <w:lvlJc w:val="right"/>
      <w:pPr>
        <w:ind w:left="4320" w:hanging="180"/>
      </w:pPr>
    </w:lvl>
    <w:lvl w:ilvl="6" w:tplc="F7122206" w:tentative="1">
      <w:start w:val="1"/>
      <w:numFmt w:val="decimal"/>
      <w:lvlText w:val="%7."/>
      <w:lvlJc w:val="left"/>
      <w:pPr>
        <w:ind w:left="5040" w:hanging="360"/>
      </w:pPr>
    </w:lvl>
    <w:lvl w:ilvl="7" w:tplc="89FC27AA" w:tentative="1">
      <w:start w:val="1"/>
      <w:numFmt w:val="lowerLetter"/>
      <w:lvlText w:val="%8."/>
      <w:lvlJc w:val="left"/>
      <w:pPr>
        <w:ind w:left="5760" w:hanging="360"/>
      </w:pPr>
    </w:lvl>
    <w:lvl w:ilvl="8" w:tplc="177C4FF4" w:tentative="1">
      <w:start w:val="1"/>
      <w:numFmt w:val="lowerRoman"/>
      <w:lvlText w:val="%9."/>
      <w:lvlJc w:val="right"/>
      <w:pPr>
        <w:ind w:left="6480" w:hanging="180"/>
      </w:pPr>
    </w:lvl>
  </w:abstractNum>
  <w:num w:numId="1" w16cid:durableId="1171138400">
    <w:abstractNumId w:val="0"/>
  </w:num>
  <w:num w:numId="2" w16cid:durableId="558783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4A8"/>
    <w:rsid w:val="00003648"/>
    <w:rsid w:val="00036543"/>
    <w:rsid w:val="0006543A"/>
    <w:rsid w:val="000E33F4"/>
    <w:rsid w:val="00123122"/>
    <w:rsid w:val="0014403B"/>
    <w:rsid w:val="00172963"/>
    <w:rsid w:val="00247254"/>
    <w:rsid w:val="0025205B"/>
    <w:rsid w:val="00265BBE"/>
    <w:rsid w:val="002F577C"/>
    <w:rsid w:val="003049B2"/>
    <w:rsid w:val="0034199A"/>
    <w:rsid w:val="00357704"/>
    <w:rsid w:val="00357851"/>
    <w:rsid w:val="00370D0D"/>
    <w:rsid w:val="003C54A8"/>
    <w:rsid w:val="00413F62"/>
    <w:rsid w:val="00455DC4"/>
    <w:rsid w:val="004C162E"/>
    <w:rsid w:val="004C3367"/>
    <w:rsid w:val="004C6AE5"/>
    <w:rsid w:val="00511F57"/>
    <w:rsid w:val="005A3381"/>
    <w:rsid w:val="005B5B3C"/>
    <w:rsid w:val="005E3009"/>
    <w:rsid w:val="005E5CB2"/>
    <w:rsid w:val="005E7D3A"/>
    <w:rsid w:val="005F01CB"/>
    <w:rsid w:val="006839C6"/>
    <w:rsid w:val="00693EE9"/>
    <w:rsid w:val="006B71B5"/>
    <w:rsid w:val="006F52DA"/>
    <w:rsid w:val="00706C3D"/>
    <w:rsid w:val="0072671C"/>
    <w:rsid w:val="00777112"/>
    <w:rsid w:val="0079530F"/>
    <w:rsid w:val="007B7AB2"/>
    <w:rsid w:val="007E7322"/>
    <w:rsid w:val="0086484F"/>
    <w:rsid w:val="00871341"/>
    <w:rsid w:val="009004A8"/>
    <w:rsid w:val="009352DA"/>
    <w:rsid w:val="0095679B"/>
    <w:rsid w:val="009B3C06"/>
    <w:rsid w:val="00A069E9"/>
    <w:rsid w:val="00A163D0"/>
    <w:rsid w:val="00A2162B"/>
    <w:rsid w:val="00B76EBF"/>
    <w:rsid w:val="00B94D28"/>
    <w:rsid w:val="00BB4AB1"/>
    <w:rsid w:val="00D01207"/>
    <w:rsid w:val="00D7403C"/>
    <w:rsid w:val="00DA7B65"/>
    <w:rsid w:val="00DB5E1D"/>
    <w:rsid w:val="00E15730"/>
    <w:rsid w:val="00E175B4"/>
    <w:rsid w:val="00E627E5"/>
    <w:rsid w:val="00E86B2F"/>
    <w:rsid w:val="00EB4E7A"/>
    <w:rsid w:val="00F01BB1"/>
    <w:rsid w:val="00F051FC"/>
    <w:rsid w:val="00F8295D"/>
    <w:rsid w:val="00F97F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B5B3C"/>
    <w:rPr>
      <w:color w:val="0000FF" w:themeColor="hyperlink"/>
      <w:u w:val="single"/>
    </w:rPr>
  </w:style>
  <w:style w:type="character" w:styleId="CommentReference">
    <w:name w:val="annotation reference"/>
    <w:basedOn w:val="DefaultParagraphFont"/>
    <w:uiPriority w:val="99"/>
    <w:semiHidden/>
    <w:unhideWhenUsed/>
    <w:rsid w:val="003C54A8"/>
    <w:rPr>
      <w:sz w:val="16"/>
      <w:szCs w:val="16"/>
    </w:rPr>
  </w:style>
  <w:style w:type="paragraph" w:styleId="CommentText">
    <w:name w:val="annotation text"/>
    <w:basedOn w:val="Normal"/>
    <w:link w:val="CommentTextChar"/>
    <w:uiPriority w:val="99"/>
    <w:semiHidden/>
    <w:unhideWhenUsed/>
    <w:rsid w:val="003C54A8"/>
    <w:pPr>
      <w:spacing w:line="240" w:lineRule="auto"/>
    </w:pPr>
    <w:rPr>
      <w:sz w:val="20"/>
      <w:szCs w:val="20"/>
    </w:rPr>
  </w:style>
  <w:style w:type="character" w:customStyle="1" w:styleId="CommentTextChar">
    <w:name w:val="Comment Text Char"/>
    <w:basedOn w:val="DefaultParagraphFont"/>
    <w:link w:val="CommentText"/>
    <w:uiPriority w:val="99"/>
    <w:semiHidden/>
    <w:rsid w:val="003C54A8"/>
    <w:rPr>
      <w:sz w:val="20"/>
      <w:szCs w:val="20"/>
    </w:rPr>
  </w:style>
  <w:style w:type="paragraph" w:styleId="CommentSubject">
    <w:name w:val="annotation subject"/>
    <w:basedOn w:val="CommentText"/>
    <w:next w:val="CommentText"/>
    <w:link w:val="CommentSubjectChar"/>
    <w:uiPriority w:val="99"/>
    <w:semiHidden/>
    <w:unhideWhenUsed/>
    <w:rsid w:val="003C54A8"/>
    <w:rPr>
      <w:b/>
      <w:bCs/>
    </w:rPr>
  </w:style>
  <w:style w:type="character" w:customStyle="1" w:styleId="CommentSubjectChar">
    <w:name w:val="Comment Subject Char"/>
    <w:basedOn w:val="CommentTextChar"/>
    <w:link w:val="CommentSubject"/>
    <w:uiPriority w:val="99"/>
    <w:semiHidden/>
    <w:rsid w:val="003C54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heglobeandmail.com/news/national/back-from-the-brink-25-years-later/article20389444/?service=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1053</Words>
  <Characters>5402</Characters>
  <Application>Microsoft Office Word</Application>
  <DocSecurity>0</DocSecurity>
  <Lines>154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2024-06-26T19:08:00Z</dcterms:created>
  <dcterms:modified xsi:type="dcterms:W3CDTF">2024-06-26T19:59:00Z</dcterms:modified>
</cp:coreProperties>
</file>