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D6CB3" w14:textId="77777777" w:rsidR="001E7847" w:rsidRPr="009F3CD3" w:rsidRDefault="001E7847" w:rsidP="001E7847">
      <w:pPr>
        <w:pBdr>
          <w:top w:val="none" w:sz="0" w:space="0" w:color="auto"/>
          <w:left w:val="none" w:sz="0" w:space="0" w:color="auto"/>
          <w:bottom w:val="none" w:sz="0" w:space="0" w:color="auto"/>
          <w:right w:val="none" w:sz="0" w:space="0" w:color="auto"/>
        </w:pBdr>
        <w:tabs>
          <w:tab w:val="right" w:pos="9356"/>
        </w:tabs>
        <w:jc w:val="right"/>
        <w:rPr>
          <w:rFonts w:asciiTheme="majorHAnsi" w:hAnsiTheme="majorHAnsi"/>
          <w:sz w:val="28"/>
          <w:szCs w:val="28"/>
          <w:lang w:val="fr-CA"/>
        </w:rPr>
      </w:pPr>
      <w:r>
        <w:rPr>
          <w:rFonts w:ascii="Cambria" w:hAnsi="Cambria"/>
          <w:sz w:val="28"/>
          <w:szCs w:val="28"/>
          <w:lang w:val="fr-CA"/>
        </w:rPr>
        <w:t>Leçon : Au foyer et au travail en temps de guerre</w:t>
      </w:r>
    </w:p>
    <w:p w14:paraId="0377A0B5" w14:textId="77777777" w:rsidR="001E7847" w:rsidRDefault="001E7847" w:rsidP="001E7847">
      <w:pPr>
        <w:pBdr>
          <w:top w:val="none" w:sz="0" w:space="0" w:color="auto"/>
          <w:left w:val="none" w:sz="0" w:space="0" w:color="auto"/>
          <w:bottom w:val="none" w:sz="0" w:space="0" w:color="auto"/>
          <w:right w:val="none" w:sz="0" w:space="0" w:color="auto"/>
        </w:pBdr>
        <w:tabs>
          <w:tab w:val="right" w:pos="9356"/>
        </w:tabs>
        <w:jc w:val="right"/>
        <w:rPr>
          <w:rFonts w:ascii="Cambria" w:hAnsi="Cambria"/>
          <w:sz w:val="28"/>
          <w:szCs w:val="28"/>
          <w:lang w:val="fr-CA"/>
        </w:rPr>
      </w:pPr>
    </w:p>
    <w:p w14:paraId="6D15354C" w14:textId="598FFA06" w:rsidR="009F3CD3" w:rsidRPr="001E7847" w:rsidRDefault="00E42789" w:rsidP="00F55B75">
      <w:pPr>
        <w:pBdr>
          <w:top w:val="none" w:sz="0" w:space="0" w:color="auto"/>
          <w:left w:val="none" w:sz="0" w:space="0" w:color="auto"/>
          <w:bottom w:val="none" w:sz="0" w:space="0" w:color="auto"/>
          <w:right w:val="none" w:sz="0" w:space="0" w:color="auto"/>
        </w:pBdr>
        <w:tabs>
          <w:tab w:val="right" w:pos="9356"/>
        </w:tabs>
        <w:rPr>
          <w:rFonts w:ascii="Cambria" w:hAnsi="Cambria"/>
          <w:b/>
          <w:bCs/>
          <w:lang w:val="fr-CA"/>
        </w:rPr>
      </w:pPr>
      <w:r w:rsidRPr="001E7847">
        <w:rPr>
          <w:rFonts w:ascii="Cambria" w:hAnsi="Cambria"/>
          <w:b/>
          <w:bCs/>
          <w:lang w:val="fr-CA"/>
        </w:rPr>
        <w:t>Annexe 1 – Document d’information</w:t>
      </w:r>
      <w:r w:rsidRPr="001E7847">
        <w:rPr>
          <w:rFonts w:ascii="Cambria" w:hAnsi="Cambria"/>
          <w:b/>
          <w:bCs/>
          <w:lang w:val="fr-CA"/>
        </w:rPr>
        <w:tab/>
      </w:r>
    </w:p>
    <w:p w14:paraId="15BB4F26" w14:textId="77777777" w:rsidR="00F55B75" w:rsidRPr="009F3CD3" w:rsidRDefault="00F55B75" w:rsidP="00F55B75">
      <w:pPr>
        <w:pBdr>
          <w:top w:val="none" w:sz="0" w:space="0" w:color="auto"/>
          <w:left w:val="none" w:sz="0" w:space="0" w:color="auto"/>
          <w:bottom w:val="none" w:sz="0" w:space="0" w:color="auto"/>
          <w:right w:val="none" w:sz="0" w:space="0" w:color="auto"/>
        </w:pBdr>
        <w:rPr>
          <w:rFonts w:asciiTheme="majorHAnsi" w:hAnsiTheme="majorHAnsi"/>
          <w:lang w:val="fr-CA"/>
        </w:rPr>
      </w:pPr>
    </w:p>
    <w:p w14:paraId="4DD82192" w14:textId="77777777" w:rsidR="003B7FA9" w:rsidRPr="001E7847" w:rsidRDefault="00E42789" w:rsidP="001E7847">
      <w:pPr>
        <w:pBdr>
          <w:top w:val="none" w:sz="0" w:space="0" w:color="auto"/>
          <w:left w:val="none" w:sz="0" w:space="0" w:color="auto"/>
          <w:bottom w:val="none" w:sz="0" w:space="0" w:color="auto"/>
          <w:right w:val="none" w:sz="0" w:space="0" w:color="auto"/>
        </w:pBdr>
        <w:spacing w:after="80"/>
        <w:ind w:firstLine="720"/>
        <w:rPr>
          <w:rFonts w:asciiTheme="majorHAnsi" w:hAnsiTheme="majorHAnsi"/>
          <w:sz w:val="23"/>
          <w:szCs w:val="23"/>
          <w:lang w:val="fr-CA"/>
        </w:rPr>
      </w:pPr>
      <w:r w:rsidRPr="001E7847">
        <w:rPr>
          <w:rFonts w:ascii="Cambria" w:hAnsi="Cambria"/>
          <w:sz w:val="23"/>
          <w:szCs w:val="23"/>
          <w:lang w:val="fr-CA"/>
        </w:rPr>
        <w:t>Il est important d’avoir conscience de quelques fait</w:t>
      </w:r>
      <w:r w:rsidR="007B2EFE" w:rsidRPr="001E7847">
        <w:rPr>
          <w:rFonts w:ascii="Cambria" w:hAnsi="Cambria"/>
          <w:sz w:val="23"/>
          <w:szCs w:val="23"/>
          <w:lang w:val="fr-CA"/>
        </w:rPr>
        <w:t>s</w:t>
      </w:r>
      <w:r w:rsidRPr="001E7847">
        <w:rPr>
          <w:rFonts w:ascii="Cambria" w:hAnsi="Cambria"/>
          <w:sz w:val="23"/>
          <w:szCs w:val="23"/>
          <w:lang w:val="fr-CA"/>
        </w:rPr>
        <w:t xml:space="preserve"> essentiels sur l’arrivée des femmes dans le marché du travail rémunéré du Canada de l’époque contemporaine.</w:t>
      </w:r>
      <w:r w:rsidR="009F3CD3" w:rsidRPr="001E7847">
        <w:rPr>
          <w:rFonts w:ascii="Cambria" w:hAnsi="Cambria"/>
          <w:sz w:val="23"/>
          <w:szCs w:val="23"/>
          <w:lang w:val="fr-CA"/>
        </w:rPr>
        <w:t xml:space="preserve"> </w:t>
      </w:r>
      <w:r w:rsidRPr="001E7847">
        <w:rPr>
          <w:rFonts w:ascii="Cambria" w:hAnsi="Cambria"/>
          <w:sz w:val="23"/>
          <w:szCs w:val="23"/>
          <w:lang w:val="fr-CA"/>
        </w:rPr>
        <w:t>L’intégration des femmes dans des emplois industriels et autre travail salarié au 20</w:t>
      </w:r>
      <w:r w:rsidRPr="001E7847">
        <w:rPr>
          <w:rFonts w:ascii="Cambria" w:hAnsi="Cambria"/>
          <w:sz w:val="23"/>
          <w:szCs w:val="23"/>
          <w:vertAlign w:val="superscript"/>
          <w:lang w:val="fr-CA"/>
        </w:rPr>
        <w:t>e </w:t>
      </w:r>
      <w:r w:rsidRPr="001E7847">
        <w:rPr>
          <w:rFonts w:ascii="Cambria" w:hAnsi="Cambria"/>
          <w:sz w:val="23"/>
          <w:szCs w:val="23"/>
          <w:lang w:val="fr-CA"/>
        </w:rPr>
        <w:t>siècle constitue un changement important dans la société canadienne.</w:t>
      </w:r>
      <w:r w:rsidR="009F3CD3" w:rsidRPr="001E7847">
        <w:rPr>
          <w:rFonts w:ascii="Cambria" w:hAnsi="Cambria"/>
          <w:sz w:val="23"/>
          <w:szCs w:val="23"/>
          <w:lang w:val="fr-CA"/>
        </w:rPr>
        <w:t xml:space="preserve"> </w:t>
      </w:r>
      <w:r w:rsidRPr="001E7847">
        <w:rPr>
          <w:rFonts w:ascii="Cambria" w:hAnsi="Cambria"/>
          <w:sz w:val="23"/>
          <w:szCs w:val="23"/>
          <w:lang w:val="fr-CA"/>
        </w:rPr>
        <w:t>«</w:t>
      </w:r>
      <w:r w:rsidR="007B2EFE" w:rsidRPr="001E7847">
        <w:rPr>
          <w:rFonts w:ascii="Cambria" w:hAnsi="Cambria"/>
          <w:sz w:val="23"/>
          <w:szCs w:val="23"/>
          <w:lang w:val="fr-CA"/>
        </w:rPr>
        <w:t> </w:t>
      </w:r>
      <w:r w:rsidRPr="001E7847">
        <w:rPr>
          <w:rFonts w:ascii="Cambria" w:hAnsi="Cambria"/>
          <w:sz w:val="23"/>
          <w:szCs w:val="23"/>
          <w:lang w:val="fr-CA"/>
        </w:rPr>
        <w:t>Jusqu’au dernier tiers du 20</w:t>
      </w:r>
      <w:r w:rsidRPr="001E7847">
        <w:rPr>
          <w:rFonts w:ascii="Cambria" w:hAnsi="Cambria"/>
          <w:sz w:val="23"/>
          <w:szCs w:val="23"/>
          <w:vertAlign w:val="superscript"/>
          <w:lang w:val="fr-CA"/>
        </w:rPr>
        <w:t>e</w:t>
      </w:r>
      <w:r w:rsidRPr="001E7847">
        <w:rPr>
          <w:rFonts w:ascii="Cambria" w:hAnsi="Cambria"/>
          <w:sz w:val="23"/>
          <w:szCs w:val="23"/>
          <w:lang w:val="fr-CA"/>
        </w:rPr>
        <w:t> siècle, les femmes adultes ne faisaient pas partie de la population active rémunérée.</w:t>
      </w:r>
      <w:r w:rsidR="007B2EFE" w:rsidRPr="001E7847">
        <w:rPr>
          <w:rFonts w:ascii="Cambria" w:hAnsi="Cambria"/>
          <w:sz w:val="23"/>
          <w:szCs w:val="23"/>
          <w:lang w:val="fr-CA"/>
        </w:rPr>
        <w:t> </w:t>
      </w:r>
      <w:r w:rsidRPr="001E7847">
        <w:rPr>
          <w:rFonts w:ascii="Cambria" w:hAnsi="Cambria"/>
          <w:sz w:val="23"/>
          <w:szCs w:val="23"/>
          <w:lang w:val="fr-CA"/>
        </w:rPr>
        <w:t>»</w:t>
      </w:r>
      <w:r w:rsidR="009F3CD3" w:rsidRPr="001E7847">
        <w:rPr>
          <w:rFonts w:ascii="Cambria" w:hAnsi="Cambria"/>
          <w:sz w:val="23"/>
          <w:szCs w:val="23"/>
          <w:lang w:val="fr-CA"/>
        </w:rPr>
        <w:t xml:space="preserve"> </w:t>
      </w:r>
      <w:r w:rsidRPr="001E7847">
        <w:rPr>
          <w:rFonts w:ascii="Cambria" w:hAnsi="Cambria"/>
          <w:sz w:val="23"/>
          <w:szCs w:val="23"/>
          <w:lang w:val="fr-CA"/>
        </w:rPr>
        <w:t>En 1901, 86 % ne faisaient pas partie de la population active rémunérée.</w:t>
      </w:r>
      <w:r w:rsidR="009F3CD3" w:rsidRPr="001E7847">
        <w:rPr>
          <w:rFonts w:ascii="Cambria" w:hAnsi="Cambria"/>
          <w:sz w:val="23"/>
          <w:szCs w:val="23"/>
          <w:lang w:val="fr-CA"/>
        </w:rPr>
        <w:t xml:space="preserve"> </w:t>
      </w:r>
      <w:r w:rsidRPr="001E7847">
        <w:rPr>
          <w:rFonts w:ascii="Cambria" w:hAnsi="Cambria"/>
          <w:sz w:val="23"/>
          <w:szCs w:val="23"/>
          <w:lang w:val="fr-CA"/>
        </w:rPr>
        <w:t>De plus, la plupart des femmes adultes étaient mariées, et jusqu’aux années 1950, cela voulait dire qu’elles quittaient généralement leur emploi au moment de leur mariage.</w:t>
      </w:r>
      <w:r w:rsidR="009F3CD3" w:rsidRPr="001E7847">
        <w:rPr>
          <w:rFonts w:ascii="Cambria" w:hAnsi="Cambria"/>
          <w:sz w:val="23"/>
          <w:szCs w:val="23"/>
          <w:lang w:val="fr-CA"/>
        </w:rPr>
        <w:t xml:space="preserve"> </w:t>
      </w:r>
      <w:r w:rsidRPr="001E7847">
        <w:rPr>
          <w:rFonts w:ascii="Cambria" w:hAnsi="Cambria"/>
          <w:sz w:val="23"/>
          <w:szCs w:val="23"/>
          <w:lang w:val="fr-CA"/>
        </w:rPr>
        <w:t>Vers la fin du 20</w:t>
      </w:r>
      <w:r w:rsidRPr="001E7847">
        <w:rPr>
          <w:rFonts w:ascii="Cambria" w:hAnsi="Cambria"/>
          <w:sz w:val="23"/>
          <w:szCs w:val="23"/>
          <w:vertAlign w:val="superscript"/>
          <w:lang w:val="fr-CA"/>
        </w:rPr>
        <w:t>e</w:t>
      </w:r>
      <w:r w:rsidRPr="001E7847">
        <w:rPr>
          <w:rFonts w:ascii="Cambria" w:hAnsi="Cambria"/>
          <w:sz w:val="23"/>
          <w:szCs w:val="23"/>
          <w:lang w:val="fr-CA"/>
        </w:rPr>
        <w:t> siècle, la plupart des femmes occupaient un emploi rémunéré pendant la majeure partie de leur vie conjugale.</w:t>
      </w:r>
      <w:r w:rsidR="009F3CD3" w:rsidRPr="001E7847">
        <w:rPr>
          <w:rFonts w:ascii="Cambria" w:hAnsi="Cambria"/>
          <w:sz w:val="23"/>
          <w:szCs w:val="23"/>
          <w:lang w:val="fr-CA"/>
        </w:rPr>
        <w:t xml:space="preserve"> </w:t>
      </w:r>
      <w:r w:rsidRPr="001E7847">
        <w:rPr>
          <w:rFonts w:ascii="Cambria" w:hAnsi="Cambria"/>
          <w:sz w:val="23"/>
          <w:szCs w:val="23"/>
          <w:lang w:val="fr-CA"/>
        </w:rPr>
        <w:t>Même ainsi, en règle générale, la plupart de ces emplois consistaient en «</w:t>
      </w:r>
      <w:r w:rsidR="007B2EFE" w:rsidRPr="001E7847">
        <w:rPr>
          <w:rFonts w:ascii="Cambria" w:hAnsi="Cambria"/>
          <w:sz w:val="23"/>
          <w:szCs w:val="23"/>
          <w:lang w:val="fr-CA"/>
        </w:rPr>
        <w:t> </w:t>
      </w:r>
      <w:r w:rsidRPr="001E7847">
        <w:rPr>
          <w:rFonts w:ascii="Cambria" w:hAnsi="Cambria"/>
          <w:sz w:val="23"/>
          <w:szCs w:val="23"/>
          <w:lang w:val="fr-CA"/>
        </w:rPr>
        <w:t>travail de femme</w:t>
      </w:r>
      <w:r w:rsidR="007B2EFE" w:rsidRPr="001E7847">
        <w:rPr>
          <w:rFonts w:ascii="Cambria" w:hAnsi="Cambria"/>
          <w:sz w:val="23"/>
          <w:szCs w:val="23"/>
          <w:lang w:val="fr-CA"/>
        </w:rPr>
        <w:t> </w:t>
      </w:r>
      <w:r w:rsidRPr="001E7847">
        <w:rPr>
          <w:rFonts w:ascii="Cambria" w:hAnsi="Cambria"/>
          <w:sz w:val="23"/>
          <w:szCs w:val="23"/>
          <w:lang w:val="fr-CA"/>
        </w:rPr>
        <w:t>» : garde d’enfant, travail domestique et autres emplois de ce genre, sauf à la campagne, où les tâches ménagères venaient s’ajouter au travail des champs.</w:t>
      </w:r>
      <w:r w:rsidR="009F3CD3" w:rsidRPr="001E7847">
        <w:rPr>
          <w:rFonts w:ascii="Cambria" w:hAnsi="Cambria"/>
          <w:sz w:val="23"/>
          <w:szCs w:val="23"/>
          <w:lang w:val="fr-CA"/>
        </w:rPr>
        <w:t xml:space="preserve"> </w:t>
      </w:r>
    </w:p>
    <w:p w14:paraId="778CC3CA" w14:textId="77777777" w:rsidR="00684605" w:rsidRPr="001E7847" w:rsidRDefault="00684605" w:rsidP="001E7847">
      <w:pPr>
        <w:pBdr>
          <w:top w:val="none" w:sz="0" w:space="0" w:color="auto"/>
          <w:left w:val="none" w:sz="0" w:space="0" w:color="auto"/>
          <w:bottom w:val="none" w:sz="0" w:space="0" w:color="auto"/>
          <w:right w:val="none" w:sz="0" w:space="0" w:color="auto"/>
        </w:pBdr>
        <w:spacing w:after="80"/>
        <w:ind w:firstLine="720"/>
        <w:rPr>
          <w:rFonts w:asciiTheme="majorHAnsi" w:hAnsiTheme="majorHAnsi"/>
          <w:sz w:val="23"/>
          <w:szCs w:val="23"/>
          <w:lang w:val="fr-CA"/>
        </w:rPr>
      </w:pPr>
    </w:p>
    <w:p w14:paraId="6E400FD8" w14:textId="77777777" w:rsidR="00F55B75" w:rsidRPr="001E7847" w:rsidRDefault="00E42789" w:rsidP="001E7847">
      <w:pPr>
        <w:pBdr>
          <w:top w:val="none" w:sz="0" w:space="0" w:color="auto"/>
          <w:left w:val="none" w:sz="0" w:space="0" w:color="auto"/>
          <w:bottom w:val="none" w:sz="0" w:space="0" w:color="auto"/>
          <w:right w:val="none" w:sz="0" w:space="0" w:color="auto"/>
        </w:pBdr>
        <w:spacing w:after="80"/>
        <w:ind w:firstLine="720"/>
        <w:rPr>
          <w:rFonts w:asciiTheme="majorHAnsi" w:hAnsiTheme="majorHAnsi"/>
          <w:sz w:val="23"/>
          <w:szCs w:val="23"/>
          <w:lang w:val="fr-CA"/>
        </w:rPr>
      </w:pPr>
      <w:r w:rsidRPr="001E7847">
        <w:rPr>
          <w:rFonts w:ascii="Cambria" w:hAnsi="Cambria"/>
          <w:sz w:val="23"/>
          <w:szCs w:val="23"/>
          <w:lang w:val="fr-CA"/>
        </w:rPr>
        <w:t>Les femmes immigrées et autochtones travaillaient au traitement de ressources (par exemple, les ouvrières japonaises, chinoises et autochtones des usines de mise en conserve de poisson).</w:t>
      </w:r>
      <w:r w:rsidR="009F3CD3" w:rsidRPr="001E7847">
        <w:rPr>
          <w:rFonts w:ascii="Cambria" w:hAnsi="Cambria"/>
          <w:sz w:val="23"/>
          <w:szCs w:val="23"/>
          <w:lang w:val="fr-CA"/>
        </w:rPr>
        <w:t xml:space="preserve"> </w:t>
      </w:r>
      <w:r w:rsidRPr="001E7847">
        <w:rPr>
          <w:rFonts w:ascii="Cambria" w:hAnsi="Cambria"/>
          <w:sz w:val="23"/>
          <w:szCs w:val="23"/>
          <w:lang w:val="fr-CA"/>
        </w:rPr>
        <w:t>Pendant la Grande Dépression, les femmes n’avaient pas droit aux programmes et aux camps d’aide au travail.</w:t>
      </w:r>
      <w:r w:rsidR="009F3CD3" w:rsidRPr="001E7847">
        <w:rPr>
          <w:rFonts w:ascii="Cambria" w:hAnsi="Cambria"/>
          <w:sz w:val="23"/>
          <w:szCs w:val="23"/>
          <w:lang w:val="fr-CA"/>
        </w:rPr>
        <w:t xml:space="preserve"> </w:t>
      </w:r>
      <w:r w:rsidRPr="001E7847">
        <w:rPr>
          <w:rFonts w:ascii="Cambria" w:hAnsi="Cambria"/>
          <w:sz w:val="23"/>
          <w:szCs w:val="23"/>
          <w:lang w:val="fr-CA"/>
        </w:rPr>
        <w:t>Elles ne pouvaient suivre qu’un programme de formation de domestique, un emploi où elles travaillaient de longues heures, recevaient un maigre salaire et étaient privées de leur liberté.</w:t>
      </w:r>
      <w:r w:rsidR="009F3CD3" w:rsidRPr="001E7847">
        <w:rPr>
          <w:rFonts w:ascii="Cambria" w:hAnsi="Cambria"/>
          <w:sz w:val="23"/>
          <w:szCs w:val="23"/>
          <w:lang w:val="fr-CA"/>
        </w:rPr>
        <w:t xml:space="preserve"> </w:t>
      </w:r>
    </w:p>
    <w:p w14:paraId="2AACCE3A" w14:textId="77777777" w:rsidR="00684605" w:rsidRPr="001E7847" w:rsidRDefault="00684605" w:rsidP="001E7847">
      <w:pPr>
        <w:pBdr>
          <w:top w:val="none" w:sz="0" w:space="0" w:color="auto"/>
          <w:left w:val="none" w:sz="0" w:space="0" w:color="auto"/>
          <w:bottom w:val="none" w:sz="0" w:space="0" w:color="auto"/>
          <w:right w:val="none" w:sz="0" w:space="0" w:color="auto"/>
        </w:pBdr>
        <w:spacing w:after="80"/>
        <w:ind w:firstLine="720"/>
        <w:rPr>
          <w:rFonts w:asciiTheme="majorHAnsi" w:hAnsiTheme="majorHAnsi"/>
          <w:sz w:val="23"/>
          <w:szCs w:val="23"/>
          <w:lang w:val="fr-CA"/>
        </w:rPr>
      </w:pPr>
    </w:p>
    <w:p w14:paraId="42704B2E" w14:textId="77777777" w:rsidR="00F55B75" w:rsidRPr="001E7847" w:rsidRDefault="00E42789" w:rsidP="001E7847">
      <w:pPr>
        <w:pBdr>
          <w:top w:val="none" w:sz="0" w:space="0" w:color="auto"/>
          <w:left w:val="none" w:sz="0" w:space="0" w:color="auto"/>
          <w:bottom w:val="none" w:sz="0" w:space="0" w:color="auto"/>
          <w:right w:val="none" w:sz="0" w:space="0" w:color="auto"/>
        </w:pBdr>
        <w:spacing w:after="80"/>
        <w:rPr>
          <w:rFonts w:asciiTheme="majorHAnsi" w:hAnsiTheme="majorHAnsi"/>
          <w:sz w:val="23"/>
          <w:szCs w:val="23"/>
          <w:lang w:val="fr-CA"/>
        </w:rPr>
      </w:pPr>
      <w:r w:rsidRPr="001E7847">
        <w:rPr>
          <w:rFonts w:ascii="Cambria" w:hAnsi="Cambria"/>
          <w:sz w:val="23"/>
          <w:szCs w:val="23"/>
          <w:lang w:val="fr-CA"/>
        </w:rPr>
        <w:tab/>
        <w:t>Les femmes devaient également faire garder leurs enfants.</w:t>
      </w:r>
      <w:r w:rsidR="009F3CD3" w:rsidRPr="001E7847">
        <w:rPr>
          <w:rFonts w:ascii="Cambria" w:hAnsi="Cambria"/>
          <w:sz w:val="23"/>
          <w:szCs w:val="23"/>
          <w:lang w:val="fr-CA"/>
        </w:rPr>
        <w:t xml:space="preserve"> </w:t>
      </w:r>
      <w:r w:rsidRPr="001E7847">
        <w:rPr>
          <w:rFonts w:ascii="Cambria" w:hAnsi="Cambria"/>
          <w:sz w:val="23"/>
          <w:szCs w:val="23"/>
          <w:lang w:val="fr-CA"/>
        </w:rPr>
        <w:t>Au fur et à mesure que les femmes mariées intégraient de plus en plus le marché du travail rémunéré, le gouvernement offrait des subventions et des places de garderie dans certains cas.</w:t>
      </w:r>
      <w:r w:rsidR="009F3CD3" w:rsidRPr="001E7847">
        <w:rPr>
          <w:rFonts w:ascii="Cambria" w:hAnsi="Cambria"/>
          <w:sz w:val="23"/>
          <w:szCs w:val="23"/>
          <w:lang w:val="fr-CA"/>
        </w:rPr>
        <w:t xml:space="preserve"> </w:t>
      </w:r>
      <w:r w:rsidRPr="001E7847">
        <w:rPr>
          <w:rFonts w:ascii="Cambria" w:hAnsi="Cambria"/>
          <w:sz w:val="23"/>
          <w:szCs w:val="23"/>
          <w:lang w:val="fr-CA"/>
        </w:rPr>
        <w:t>Ainsi, il fallait que les emplois pour les femmes les payent convenablement et, tout comme de nos jours, tiennent compte du fait qu’elles avaient besoin de services de garde d’enfants.</w:t>
      </w:r>
      <w:r w:rsidR="009F3CD3" w:rsidRPr="001E7847">
        <w:rPr>
          <w:rFonts w:ascii="Cambria" w:hAnsi="Cambria"/>
          <w:sz w:val="23"/>
          <w:szCs w:val="23"/>
          <w:lang w:val="fr-CA"/>
        </w:rPr>
        <w:t xml:space="preserve"> </w:t>
      </w:r>
      <w:r w:rsidRPr="001E7847">
        <w:rPr>
          <w:rFonts w:ascii="Cambria" w:hAnsi="Cambria"/>
          <w:sz w:val="23"/>
          <w:szCs w:val="23"/>
          <w:lang w:val="fr-CA"/>
        </w:rPr>
        <w:t>Tout emploi aux antipodes du travail domestique était probablement considéré comme désirable.</w:t>
      </w:r>
    </w:p>
    <w:p w14:paraId="690101D2" w14:textId="77777777" w:rsidR="00F55B75" w:rsidRPr="009F3CD3" w:rsidRDefault="00F55B75" w:rsidP="00F55B75">
      <w:pPr>
        <w:pBdr>
          <w:top w:val="none" w:sz="0" w:space="0" w:color="auto"/>
          <w:left w:val="none" w:sz="0" w:space="0" w:color="auto"/>
          <w:bottom w:val="none" w:sz="0" w:space="0" w:color="auto"/>
          <w:right w:val="none" w:sz="0" w:space="0" w:color="auto"/>
        </w:pBdr>
        <w:rPr>
          <w:rFonts w:asciiTheme="majorHAnsi" w:hAnsiTheme="majorHAnsi"/>
          <w:sz w:val="23"/>
          <w:szCs w:val="23"/>
          <w:lang w:val="fr-CA"/>
        </w:rPr>
      </w:pPr>
    </w:p>
    <w:p w14:paraId="66AFB485" w14:textId="77777777" w:rsidR="00F55B75" w:rsidRPr="009F3CD3" w:rsidRDefault="00E42789" w:rsidP="00F55B75">
      <w:pPr>
        <w:pBdr>
          <w:top w:val="none" w:sz="0" w:space="0" w:color="auto"/>
          <w:left w:val="none" w:sz="0" w:space="0" w:color="auto"/>
          <w:bottom w:val="none" w:sz="0" w:space="0" w:color="auto"/>
          <w:right w:val="none" w:sz="0" w:space="0" w:color="auto"/>
        </w:pBdr>
        <w:rPr>
          <w:rFonts w:asciiTheme="majorHAnsi" w:hAnsiTheme="majorHAnsi"/>
          <w:b/>
          <w:sz w:val="23"/>
          <w:szCs w:val="23"/>
          <w:lang w:val="fr-CA"/>
        </w:rPr>
      </w:pPr>
      <w:r>
        <w:rPr>
          <w:rFonts w:ascii="Cambria" w:hAnsi="Cambria"/>
          <w:b/>
          <w:bCs/>
          <w:sz w:val="23"/>
          <w:szCs w:val="23"/>
          <w:lang w:val="fr-CA"/>
        </w:rPr>
        <w:t xml:space="preserve">L’expérience </w:t>
      </w:r>
      <w:r w:rsidR="009F3CD3">
        <w:rPr>
          <w:rFonts w:ascii="Cambria" w:hAnsi="Cambria"/>
          <w:b/>
          <w:bCs/>
          <w:sz w:val="23"/>
          <w:szCs w:val="23"/>
          <w:lang w:val="fr-CA"/>
        </w:rPr>
        <w:t>et l</w:t>
      </w:r>
      <w:r w:rsidR="00224CFE">
        <w:rPr>
          <w:rFonts w:ascii="Cambria" w:hAnsi="Cambria"/>
          <w:b/>
          <w:bCs/>
          <w:sz w:val="23"/>
          <w:szCs w:val="23"/>
          <w:lang w:val="fr-CA"/>
        </w:rPr>
        <w:t>e</w:t>
      </w:r>
      <w:r w:rsidR="009F3CD3">
        <w:rPr>
          <w:rFonts w:ascii="Cambria" w:hAnsi="Cambria"/>
          <w:b/>
          <w:bCs/>
          <w:sz w:val="23"/>
          <w:szCs w:val="23"/>
          <w:lang w:val="fr-CA"/>
        </w:rPr>
        <w:t xml:space="preserve"> </w:t>
      </w:r>
      <w:r>
        <w:rPr>
          <w:rFonts w:ascii="Cambria" w:hAnsi="Cambria"/>
          <w:b/>
          <w:bCs/>
          <w:sz w:val="23"/>
          <w:szCs w:val="23"/>
          <w:lang w:val="fr-CA"/>
        </w:rPr>
        <w:t>rôle des femmes à la maison</w:t>
      </w:r>
    </w:p>
    <w:p w14:paraId="7DAD4D58" w14:textId="77777777" w:rsidR="00176386" w:rsidRPr="009F3CD3" w:rsidRDefault="00176386" w:rsidP="00F55B75">
      <w:pPr>
        <w:pBdr>
          <w:top w:val="none" w:sz="0" w:space="0" w:color="auto"/>
          <w:left w:val="none" w:sz="0" w:space="0" w:color="auto"/>
          <w:bottom w:val="none" w:sz="0" w:space="0" w:color="auto"/>
          <w:right w:val="none" w:sz="0" w:space="0" w:color="auto"/>
        </w:pBdr>
        <w:rPr>
          <w:rFonts w:asciiTheme="majorHAnsi" w:hAnsiTheme="majorHAnsi"/>
          <w:b/>
          <w:sz w:val="23"/>
          <w:szCs w:val="23"/>
          <w:lang w:val="fr-CA"/>
        </w:rPr>
      </w:pPr>
    </w:p>
    <w:p w14:paraId="7C7D32E9" w14:textId="58AE8813" w:rsidR="00F55B75" w:rsidRPr="009F3CD3" w:rsidRDefault="00E42789" w:rsidP="001E7847">
      <w:pPr>
        <w:pBdr>
          <w:top w:val="none" w:sz="0" w:space="0" w:color="auto"/>
          <w:left w:val="none" w:sz="0" w:space="0" w:color="auto"/>
          <w:bottom w:val="none" w:sz="0" w:space="0" w:color="auto"/>
          <w:right w:val="none" w:sz="0" w:space="0" w:color="auto"/>
        </w:pBdr>
        <w:spacing w:after="80"/>
        <w:ind w:firstLine="720"/>
        <w:rPr>
          <w:rFonts w:asciiTheme="majorHAnsi" w:hAnsiTheme="majorHAnsi"/>
          <w:sz w:val="23"/>
          <w:szCs w:val="23"/>
          <w:lang w:val="fr-CA"/>
        </w:rPr>
      </w:pPr>
      <w:r>
        <w:rPr>
          <w:rFonts w:ascii="Cambria" w:hAnsi="Cambria"/>
          <w:sz w:val="23"/>
          <w:szCs w:val="23"/>
          <w:lang w:val="fr-CA"/>
        </w:rPr>
        <w:t>Même si ce sont les emplois industriels du temps de la guerre qui ont retenu le plus l’attention, il est important de noter qu’au cours de cette période, la plupart des femmes ne travaillaient pas dans des usines de munitions ou dans des chantiers de construction navale.</w:t>
      </w:r>
      <w:r w:rsidR="009F3CD3">
        <w:rPr>
          <w:rFonts w:ascii="Cambria" w:hAnsi="Cambria"/>
          <w:sz w:val="23"/>
          <w:szCs w:val="23"/>
          <w:lang w:val="fr-CA"/>
        </w:rPr>
        <w:t xml:space="preserve"> </w:t>
      </w:r>
      <w:r>
        <w:rPr>
          <w:rFonts w:ascii="Cambria" w:hAnsi="Cambria"/>
          <w:sz w:val="23"/>
          <w:szCs w:val="23"/>
          <w:lang w:val="fr-CA"/>
        </w:rPr>
        <w:t xml:space="preserve">La plupart d’entre elles étaient exclues de ce type de travail, et </w:t>
      </w:r>
      <w:r w:rsidR="009F3CD3">
        <w:rPr>
          <w:rFonts w:ascii="Cambria" w:hAnsi="Cambria"/>
          <w:sz w:val="23"/>
          <w:szCs w:val="23"/>
          <w:lang w:val="fr-CA"/>
        </w:rPr>
        <w:t xml:space="preserve">un plus grand nombre </w:t>
      </w:r>
      <w:r>
        <w:rPr>
          <w:rFonts w:ascii="Cambria" w:hAnsi="Cambria"/>
          <w:sz w:val="23"/>
          <w:szCs w:val="23"/>
          <w:lang w:val="fr-CA"/>
        </w:rPr>
        <w:t>de femmes étaient occupées à des tâches traditionnelles, rémunérées ou non.</w:t>
      </w:r>
      <w:r w:rsidR="009F3CD3">
        <w:rPr>
          <w:rFonts w:ascii="Cambria" w:hAnsi="Cambria"/>
          <w:sz w:val="23"/>
          <w:szCs w:val="23"/>
          <w:lang w:val="fr-CA"/>
        </w:rPr>
        <w:t xml:space="preserve"> </w:t>
      </w:r>
      <w:r>
        <w:rPr>
          <w:rFonts w:ascii="Cambria" w:hAnsi="Cambria"/>
          <w:sz w:val="23"/>
          <w:szCs w:val="23"/>
          <w:lang w:val="fr-CA"/>
        </w:rPr>
        <w:t>Elles prenaient soin de leurs enfants et s’occupaient de leurs fermes et de leurs animaux. De même, elles se chargeaient de tâches pratiques dans leur foyer pour nourrir, habiller et prendre soin de leur famille.</w:t>
      </w:r>
      <w:r w:rsidR="009F3CD3">
        <w:rPr>
          <w:rFonts w:ascii="Cambria" w:hAnsi="Cambria"/>
          <w:sz w:val="23"/>
          <w:szCs w:val="23"/>
          <w:lang w:val="fr-CA"/>
        </w:rPr>
        <w:t xml:space="preserve"> </w:t>
      </w:r>
      <w:r>
        <w:rPr>
          <w:rFonts w:ascii="Cambria" w:hAnsi="Cambria"/>
          <w:sz w:val="23"/>
          <w:szCs w:val="23"/>
          <w:lang w:val="fr-CA"/>
        </w:rPr>
        <w:t>«</w:t>
      </w:r>
      <w:r w:rsidR="007B2EFE">
        <w:rPr>
          <w:rFonts w:ascii="Cambria" w:hAnsi="Cambria"/>
          <w:sz w:val="23"/>
          <w:szCs w:val="23"/>
          <w:lang w:val="fr-CA"/>
        </w:rPr>
        <w:t> </w:t>
      </w:r>
      <w:r>
        <w:rPr>
          <w:rFonts w:ascii="Cambria" w:hAnsi="Cambria"/>
          <w:sz w:val="23"/>
          <w:szCs w:val="23"/>
          <w:lang w:val="fr-CA"/>
        </w:rPr>
        <w:t>Pendant la Première et la Seconde Guerre mondiale, les femmes qui ont rejoint la main</w:t>
      </w:r>
      <w:r w:rsidR="008C3096">
        <w:rPr>
          <w:rFonts w:ascii="Cambria" w:hAnsi="Cambria"/>
          <w:sz w:val="23"/>
          <w:szCs w:val="23"/>
          <w:lang w:val="fr-CA"/>
        </w:rPr>
        <w:noBreakHyphen/>
      </w:r>
      <w:r>
        <w:rPr>
          <w:rFonts w:ascii="Cambria" w:hAnsi="Cambria"/>
          <w:sz w:val="23"/>
          <w:szCs w:val="23"/>
          <w:lang w:val="fr-CA"/>
        </w:rPr>
        <w:t xml:space="preserve">d’œuvre rémunérée dans des emplois non traditionnels ont été publiquement </w:t>
      </w:r>
      <w:r w:rsidR="00540498">
        <w:rPr>
          <w:rFonts w:ascii="Cambria" w:hAnsi="Cambria"/>
          <w:sz w:val="23"/>
          <w:szCs w:val="23"/>
          <w:lang w:val="fr-CA"/>
        </w:rPr>
        <w:t>reconnues, mais</w:t>
      </w:r>
      <w:r>
        <w:rPr>
          <w:rFonts w:ascii="Cambria" w:hAnsi="Cambria"/>
          <w:sz w:val="23"/>
          <w:szCs w:val="23"/>
          <w:lang w:val="fr-CA"/>
        </w:rPr>
        <w:t xml:space="preserve"> de loin, la contribution la plus importante des Canadiennes à l’effort de guerre a consisté en travail non rémunéré </w:t>
      </w:r>
      <w:r w:rsidR="009F3CD3">
        <w:rPr>
          <w:rFonts w:ascii="Cambria" w:hAnsi="Cambria"/>
          <w:sz w:val="23"/>
          <w:szCs w:val="23"/>
          <w:lang w:val="fr-CA"/>
        </w:rPr>
        <w:t>au</w:t>
      </w:r>
      <w:r>
        <w:rPr>
          <w:rFonts w:ascii="Cambria" w:hAnsi="Cambria"/>
          <w:sz w:val="23"/>
          <w:szCs w:val="23"/>
          <w:lang w:val="fr-CA"/>
        </w:rPr>
        <w:t xml:space="preserve"> foyer et en bénévolat.</w:t>
      </w:r>
      <w:r w:rsidR="007B2EFE">
        <w:rPr>
          <w:rFonts w:ascii="Cambria" w:hAnsi="Cambria"/>
          <w:sz w:val="23"/>
          <w:szCs w:val="23"/>
          <w:lang w:val="fr-CA"/>
        </w:rPr>
        <w:t> </w:t>
      </w:r>
      <w:r>
        <w:rPr>
          <w:rFonts w:ascii="Cambria" w:hAnsi="Cambria"/>
          <w:sz w:val="23"/>
          <w:szCs w:val="23"/>
          <w:lang w:val="fr-CA"/>
        </w:rPr>
        <w:t>»</w:t>
      </w:r>
      <w:r>
        <w:rPr>
          <w:rStyle w:val="FootnoteReference"/>
          <w:rFonts w:asciiTheme="majorHAnsi" w:hAnsiTheme="majorHAnsi"/>
          <w:sz w:val="23"/>
          <w:szCs w:val="23"/>
        </w:rPr>
        <w:footnoteReference w:id="1"/>
      </w:r>
      <w:r>
        <w:rPr>
          <w:rFonts w:ascii="Cambria" w:hAnsi="Cambria"/>
          <w:sz w:val="23"/>
          <w:szCs w:val="23"/>
          <w:lang w:val="fr-CA"/>
        </w:rPr>
        <w:t xml:space="preserve"> </w:t>
      </w:r>
    </w:p>
    <w:p w14:paraId="6A16FDEB" w14:textId="77777777" w:rsidR="00F55B75" w:rsidRPr="009F3CD3" w:rsidRDefault="00F55B75" w:rsidP="00F55B75">
      <w:pPr>
        <w:pBdr>
          <w:top w:val="none" w:sz="0" w:space="0" w:color="auto"/>
          <w:left w:val="none" w:sz="0" w:space="0" w:color="auto"/>
          <w:bottom w:val="none" w:sz="0" w:space="0" w:color="auto"/>
          <w:right w:val="none" w:sz="0" w:space="0" w:color="auto"/>
        </w:pBdr>
        <w:rPr>
          <w:rFonts w:asciiTheme="majorHAnsi" w:hAnsiTheme="majorHAnsi"/>
          <w:sz w:val="23"/>
          <w:szCs w:val="23"/>
          <w:lang w:val="fr-CA"/>
        </w:rPr>
      </w:pPr>
    </w:p>
    <w:p w14:paraId="0F180228" w14:textId="77777777" w:rsidR="00F55B75" w:rsidRPr="009F3CD3" w:rsidRDefault="00E42789" w:rsidP="00F55B75">
      <w:pPr>
        <w:pBdr>
          <w:top w:val="none" w:sz="0" w:space="0" w:color="auto"/>
          <w:left w:val="none" w:sz="0" w:space="0" w:color="auto"/>
          <w:bottom w:val="none" w:sz="0" w:space="0" w:color="auto"/>
          <w:right w:val="none" w:sz="0" w:space="0" w:color="auto"/>
        </w:pBdr>
        <w:rPr>
          <w:rFonts w:asciiTheme="majorHAnsi" w:hAnsiTheme="majorHAnsi"/>
          <w:b/>
          <w:sz w:val="23"/>
          <w:szCs w:val="23"/>
          <w:lang w:val="fr-CA"/>
        </w:rPr>
      </w:pPr>
      <w:r>
        <w:rPr>
          <w:rFonts w:ascii="Cambria" w:hAnsi="Cambria"/>
          <w:b/>
          <w:bCs/>
          <w:sz w:val="23"/>
          <w:szCs w:val="23"/>
          <w:lang w:val="fr-CA"/>
        </w:rPr>
        <w:lastRenderedPageBreak/>
        <w:t>Contribution</w:t>
      </w:r>
    </w:p>
    <w:p w14:paraId="27176D95" w14:textId="77777777" w:rsidR="00176386" w:rsidRPr="009F3CD3" w:rsidRDefault="00E42789" w:rsidP="00F55B75">
      <w:pPr>
        <w:pBdr>
          <w:top w:val="none" w:sz="0" w:space="0" w:color="auto"/>
          <w:left w:val="none" w:sz="0" w:space="0" w:color="auto"/>
          <w:bottom w:val="none" w:sz="0" w:space="0" w:color="auto"/>
          <w:right w:val="none" w:sz="0" w:space="0" w:color="auto"/>
        </w:pBdr>
        <w:rPr>
          <w:rFonts w:asciiTheme="majorHAnsi" w:hAnsiTheme="majorHAnsi"/>
          <w:b/>
          <w:sz w:val="23"/>
          <w:szCs w:val="23"/>
          <w:lang w:val="fr-CA"/>
        </w:rPr>
      </w:pPr>
      <w:r w:rsidRPr="009F3CD3">
        <w:rPr>
          <w:rFonts w:asciiTheme="majorHAnsi" w:hAnsiTheme="majorHAnsi"/>
          <w:b/>
          <w:sz w:val="23"/>
          <w:szCs w:val="23"/>
          <w:lang w:val="fr-CA"/>
        </w:rPr>
        <w:tab/>
      </w:r>
    </w:p>
    <w:p w14:paraId="48D3B7AF" w14:textId="0014BC6B" w:rsidR="00F55B75" w:rsidRDefault="00E42789" w:rsidP="00176386">
      <w:pPr>
        <w:pBdr>
          <w:top w:val="none" w:sz="0" w:space="0" w:color="auto"/>
          <w:left w:val="none" w:sz="0" w:space="0" w:color="auto"/>
          <w:bottom w:val="none" w:sz="0" w:space="0" w:color="auto"/>
          <w:right w:val="none" w:sz="0" w:space="0" w:color="auto"/>
        </w:pBdr>
        <w:ind w:firstLine="720"/>
        <w:rPr>
          <w:rFonts w:ascii="Cambria" w:hAnsi="Cambria"/>
          <w:sz w:val="23"/>
          <w:szCs w:val="23"/>
          <w:lang w:val="fr-CA"/>
        </w:rPr>
      </w:pPr>
      <w:r>
        <w:rPr>
          <w:rFonts w:ascii="Cambria" w:hAnsi="Cambria"/>
          <w:sz w:val="23"/>
          <w:szCs w:val="23"/>
          <w:lang w:val="fr-CA"/>
        </w:rPr>
        <w:t>Même s’il est vrai que le fait d’être employées dans les industries du temps de guerre n’a pas immédiatement entraîné pour les femmes une place permanente dans la population active rémunérée et que la période d’après la guerre a constitué une régression pour leur égalité économique, les travailleuses en ont</w:t>
      </w:r>
      <w:r w:rsidR="009F3CD3">
        <w:rPr>
          <w:rFonts w:ascii="Cambria" w:hAnsi="Cambria"/>
          <w:sz w:val="23"/>
          <w:szCs w:val="23"/>
          <w:lang w:val="fr-CA"/>
        </w:rPr>
        <w:t xml:space="preserve"> néanmoins</w:t>
      </w:r>
      <w:r>
        <w:rPr>
          <w:rFonts w:ascii="Cambria" w:hAnsi="Cambria"/>
          <w:sz w:val="23"/>
          <w:szCs w:val="23"/>
          <w:lang w:val="fr-CA"/>
        </w:rPr>
        <w:t xml:space="preserve"> </w:t>
      </w:r>
      <w:r w:rsidR="009F3CD3">
        <w:rPr>
          <w:rFonts w:ascii="Cambria" w:hAnsi="Cambria"/>
          <w:sz w:val="23"/>
          <w:szCs w:val="23"/>
          <w:lang w:val="fr-CA"/>
        </w:rPr>
        <w:t>bénéficié</w:t>
      </w:r>
      <w:r>
        <w:rPr>
          <w:rFonts w:ascii="Cambria" w:hAnsi="Cambria"/>
          <w:sz w:val="23"/>
          <w:szCs w:val="23"/>
          <w:lang w:val="fr-CA"/>
        </w:rPr>
        <w:t>, particulièrement si elles appartenaient à un syndicat.</w:t>
      </w:r>
      <w:r w:rsidR="009F3CD3">
        <w:rPr>
          <w:rFonts w:ascii="Cambria" w:hAnsi="Cambria"/>
          <w:sz w:val="23"/>
          <w:szCs w:val="23"/>
          <w:lang w:val="fr-CA"/>
        </w:rPr>
        <w:t xml:space="preserve"> </w:t>
      </w:r>
      <w:r>
        <w:rPr>
          <w:rFonts w:ascii="Cambria" w:hAnsi="Cambria"/>
          <w:sz w:val="23"/>
          <w:szCs w:val="23"/>
          <w:lang w:val="fr-CA"/>
        </w:rPr>
        <w:t>Cette capsule historique nous montre comment leur expérience d’un emploi a appris à un grand nombre de femmes à se servir d’outils et à provoquer des changements par la suite.</w:t>
      </w:r>
      <w:r w:rsidR="009F3CD3">
        <w:rPr>
          <w:rFonts w:ascii="Cambria" w:hAnsi="Cambria"/>
          <w:sz w:val="23"/>
          <w:szCs w:val="23"/>
          <w:lang w:val="fr-CA"/>
        </w:rPr>
        <w:t xml:space="preserve"> </w:t>
      </w:r>
      <w:r>
        <w:rPr>
          <w:rFonts w:ascii="Cambria" w:hAnsi="Cambria"/>
          <w:sz w:val="23"/>
          <w:szCs w:val="23"/>
          <w:lang w:val="fr-CA"/>
        </w:rPr>
        <w:t xml:space="preserve">Dans bien des cas, cela leur a permis de se faire entendre. </w:t>
      </w:r>
    </w:p>
    <w:p w14:paraId="368CF7A4" w14:textId="77777777" w:rsidR="001E7847" w:rsidRPr="009F3CD3" w:rsidRDefault="001E7847" w:rsidP="00176386">
      <w:pPr>
        <w:pBdr>
          <w:top w:val="none" w:sz="0" w:space="0" w:color="auto"/>
          <w:left w:val="none" w:sz="0" w:space="0" w:color="auto"/>
          <w:bottom w:val="none" w:sz="0" w:space="0" w:color="auto"/>
          <w:right w:val="none" w:sz="0" w:space="0" w:color="auto"/>
        </w:pBdr>
        <w:ind w:firstLine="720"/>
        <w:rPr>
          <w:rFonts w:asciiTheme="majorHAnsi" w:hAnsiTheme="majorHAnsi"/>
          <w:sz w:val="23"/>
          <w:szCs w:val="23"/>
          <w:lang w:val="fr-CA"/>
        </w:rPr>
      </w:pPr>
    </w:p>
    <w:p w14:paraId="7D3A8425" w14:textId="249BAE8F" w:rsidR="005E3009" w:rsidRPr="009F3CD3" w:rsidRDefault="001E7847" w:rsidP="00465216">
      <w:pPr>
        <w:pBdr>
          <w:top w:val="none" w:sz="0" w:space="0" w:color="auto"/>
          <w:left w:val="none" w:sz="0" w:space="0" w:color="auto"/>
          <w:bottom w:val="none" w:sz="0" w:space="0" w:color="auto"/>
          <w:right w:val="none" w:sz="0" w:space="0" w:color="auto"/>
        </w:pBdr>
        <w:rPr>
          <w:rFonts w:asciiTheme="majorHAnsi" w:hAnsiTheme="majorHAnsi"/>
          <w:sz w:val="23"/>
          <w:szCs w:val="23"/>
          <w:lang w:val="fr-CA"/>
        </w:rPr>
      </w:pPr>
      <w:r>
        <w:rPr>
          <w:rFonts w:asciiTheme="majorHAnsi" w:hAnsiTheme="majorHAnsi"/>
          <w:noProof/>
          <w:sz w:val="23"/>
          <w:szCs w:val="23"/>
          <w:lang w:val="fr-CA"/>
        </w:rPr>
        <w:drawing>
          <wp:inline distT="0" distB="0" distL="0" distR="0" wp14:anchorId="25723C8C" wp14:editId="6C9ED699">
            <wp:extent cx="11430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228600"/>
                    </a:xfrm>
                    <a:prstGeom prst="rect">
                      <a:avLst/>
                    </a:prstGeom>
                    <a:noFill/>
                  </pic:spPr>
                </pic:pic>
              </a:graphicData>
            </a:graphic>
          </wp:inline>
        </w:drawing>
      </w:r>
    </w:p>
    <w:sectPr w:rsidR="005E3009" w:rsidRPr="009F3CD3" w:rsidSect="00540498">
      <w:headerReference w:type="default" r:id="rId8"/>
      <w:footerReference w:type="default" r:id="rId9"/>
      <w:pgSz w:w="12240" w:h="15840"/>
      <w:pgMar w:top="1440" w:right="1080" w:bottom="144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B9693" w14:textId="77777777" w:rsidR="004F49A5" w:rsidRDefault="004F49A5">
      <w:pPr>
        <w:pBdr>
          <w:top w:val="none" w:sz="0" w:space="0" w:color="auto"/>
          <w:left w:val="none" w:sz="0" w:space="0" w:color="auto"/>
          <w:bottom w:val="none" w:sz="0" w:space="0" w:color="auto"/>
          <w:right w:val="none" w:sz="0" w:space="0" w:color="auto"/>
        </w:pBdr>
      </w:pPr>
      <w:r>
        <w:separator/>
      </w:r>
    </w:p>
  </w:endnote>
  <w:endnote w:type="continuationSeparator" w:id="0">
    <w:p w14:paraId="1C050294" w14:textId="77777777" w:rsidR="004F49A5" w:rsidRDefault="004F49A5">
      <w:pPr>
        <w:pBdr>
          <w:top w:val="none" w:sz="0" w:space="0" w:color="auto"/>
          <w:left w:val="none" w:sz="0" w:space="0" w:color="auto"/>
          <w:bottom w:val="none" w:sz="0" w:space="0" w:color="auto"/>
          <w:right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AC27" w14:textId="5EFA173C" w:rsidR="005E3009" w:rsidRPr="00540498" w:rsidRDefault="00540498">
    <w:pPr>
      <w:pStyle w:val="Footer"/>
      <w:pBdr>
        <w:top w:val="thinThickSmallGap" w:sz="24" w:space="1" w:color="622423" w:themeColor="accent2" w:themeShade="7F"/>
      </w:pBdr>
      <w:rPr>
        <w:rFonts w:asciiTheme="majorHAnsi" w:hAnsiTheme="majorHAnsi"/>
        <w:i/>
        <w:iCs/>
        <w:sz w:val="18"/>
        <w:szCs w:val="18"/>
        <w:lang w:val="fr-CA"/>
      </w:rPr>
    </w:pPr>
    <w:r w:rsidRPr="00540498">
      <w:rPr>
        <w:rFonts w:ascii="Cambria" w:hAnsi="Cambria"/>
        <w:i/>
        <w:iCs/>
        <w:sz w:val="18"/>
        <w:szCs w:val="18"/>
        <w:lang w:val="fr-CA"/>
      </w:rPr>
      <w:t>26/09/</w:t>
    </w:r>
    <w:proofErr w:type="gramStart"/>
    <w:r w:rsidRPr="00540498">
      <w:rPr>
        <w:rFonts w:ascii="Cambria" w:hAnsi="Cambria"/>
        <w:i/>
        <w:iCs/>
        <w:sz w:val="18"/>
        <w:szCs w:val="18"/>
        <w:lang w:val="fr-CA"/>
      </w:rPr>
      <w:t>22</w:t>
    </w:r>
    <w:r w:rsidRPr="00540498">
      <w:rPr>
        <w:rFonts w:ascii="Cambria" w:hAnsi="Cambria"/>
        <w:sz w:val="18"/>
        <w:szCs w:val="18"/>
        <w:lang w:val="fr-CA"/>
      </w:rPr>
      <w:t xml:space="preserve">  </w:t>
    </w:r>
    <w:r w:rsidR="00E42789" w:rsidRPr="00540498">
      <w:rPr>
        <w:rFonts w:ascii="Cambria" w:hAnsi="Cambria"/>
        <w:sz w:val="20"/>
        <w:szCs w:val="20"/>
        <w:lang w:val="fr-CA"/>
      </w:rPr>
      <w:t>Projet</w:t>
    </w:r>
    <w:proofErr w:type="gramEnd"/>
    <w:r w:rsidR="00E42789" w:rsidRPr="00540498">
      <w:rPr>
        <w:rFonts w:ascii="Cambria" w:hAnsi="Cambria"/>
        <w:sz w:val="20"/>
        <w:szCs w:val="20"/>
        <w:lang w:val="fr-CA"/>
      </w:rPr>
      <w:t xml:space="preserve"> sur l’histoire du mouvement ouvrier : un partenariat entre le Labour </w:t>
    </w:r>
    <w:proofErr w:type="spellStart"/>
    <w:r w:rsidR="00E42789" w:rsidRPr="00540498">
      <w:rPr>
        <w:rFonts w:ascii="Cambria" w:hAnsi="Cambria"/>
        <w:sz w:val="20"/>
        <w:szCs w:val="20"/>
        <w:lang w:val="fr-CA"/>
      </w:rPr>
      <w:t>Heritage</w:t>
    </w:r>
    <w:proofErr w:type="spellEnd"/>
    <w:r w:rsidR="00E42789" w:rsidRPr="00540498">
      <w:rPr>
        <w:rFonts w:ascii="Cambria" w:hAnsi="Cambria"/>
        <w:sz w:val="20"/>
        <w:szCs w:val="20"/>
        <w:lang w:val="fr-CA"/>
      </w:rPr>
      <w:t xml:space="preserve"> Centre et la BCTF</w:t>
    </w:r>
    <w:r w:rsidR="00E42789" w:rsidRPr="00540498">
      <w:rPr>
        <w:rFonts w:ascii="Cambria" w:hAnsi="Cambria"/>
        <w:sz w:val="18"/>
        <w:szCs w:val="18"/>
        <w:lang w:val="fr-CA"/>
      </w:rPr>
      <w:t xml:space="preserve"> </w:t>
    </w:r>
    <w:r w:rsidR="00E42789">
      <w:ptab w:relativeTo="margin" w:alignment="right" w:leader="none"/>
    </w:r>
    <w:r w:rsidR="00E42789" w:rsidRPr="00540498">
      <w:rPr>
        <w:rFonts w:ascii="Cambria" w:hAnsi="Cambria"/>
        <w:i/>
        <w:iCs/>
        <w:sz w:val="18"/>
        <w:szCs w:val="18"/>
        <w:lang w:val="fr-CA"/>
      </w:rPr>
      <w:t xml:space="preserve">Page </w:t>
    </w:r>
    <w:r w:rsidR="008926ED" w:rsidRPr="00540498">
      <w:rPr>
        <w:rFonts w:asciiTheme="majorHAnsi" w:hAnsiTheme="majorHAnsi"/>
        <w:i/>
        <w:iCs/>
        <w:noProof/>
        <w:sz w:val="18"/>
        <w:szCs w:val="18"/>
        <w:lang w:val="fr-CA"/>
      </w:rPr>
      <w:fldChar w:fldCharType="begin"/>
    </w:r>
    <w:r w:rsidR="008926ED" w:rsidRPr="00540498">
      <w:rPr>
        <w:rFonts w:asciiTheme="majorHAnsi" w:hAnsiTheme="majorHAnsi"/>
        <w:i/>
        <w:iCs/>
        <w:noProof/>
        <w:sz w:val="18"/>
        <w:szCs w:val="18"/>
        <w:lang w:val="fr-CA"/>
      </w:rPr>
      <w:instrText xml:space="preserve"> PAGE   \* MERGEFORMAT </w:instrText>
    </w:r>
    <w:r w:rsidR="008926ED" w:rsidRPr="00540498">
      <w:rPr>
        <w:rFonts w:asciiTheme="majorHAnsi" w:hAnsiTheme="majorHAnsi"/>
        <w:i/>
        <w:iCs/>
        <w:noProof/>
        <w:sz w:val="18"/>
        <w:szCs w:val="18"/>
        <w:lang w:val="fr-CA"/>
      </w:rPr>
      <w:fldChar w:fldCharType="separate"/>
    </w:r>
    <w:r w:rsidR="00465216" w:rsidRPr="00540498">
      <w:rPr>
        <w:rFonts w:asciiTheme="majorHAnsi" w:hAnsiTheme="majorHAnsi"/>
        <w:i/>
        <w:iCs/>
        <w:noProof/>
        <w:sz w:val="18"/>
        <w:szCs w:val="18"/>
        <w:lang w:val="fr-CA"/>
      </w:rPr>
      <w:t>1</w:t>
    </w:r>
    <w:r w:rsidR="008926ED" w:rsidRPr="00540498">
      <w:rPr>
        <w:rFonts w:asciiTheme="majorHAnsi" w:hAnsiTheme="majorHAnsi"/>
        <w:i/>
        <w:iCs/>
        <w:noProof/>
        <w:sz w:val="18"/>
        <w:szCs w:val="18"/>
        <w:lang w:val="fr-CA"/>
      </w:rPr>
      <w:fldChar w:fldCharType="end"/>
    </w:r>
  </w:p>
  <w:p w14:paraId="62A225FD" w14:textId="77777777" w:rsidR="005A3381" w:rsidRPr="009F3CD3"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E83A8" w14:textId="77777777" w:rsidR="004F49A5" w:rsidRDefault="004F49A5" w:rsidP="005A3381">
      <w:pPr>
        <w:pBdr>
          <w:top w:val="none" w:sz="0" w:space="0" w:color="auto"/>
          <w:left w:val="none" w:sz="0" w:space="0" w:color="auto"/>
          <w:bottom w:val="none" w:sz="0" w:space="0" w:color="auto"/>
          <w:right w:val="none" w:sz="0" w:space="0" w:color="auto"/>
        </w:pBdr>
      </w:pPr>
      <w:r>
        <w:separator/>
      </w:r>
    </w:p>
  </w:footnote>
  <w:footnote w:type="continuationSeparator" w:id="0">
    <w:p w14:paraId="3AAE5A90" w14:textId="77777777" w:rsidR="004F49A5" w:rsidRDefault="004F49A5" w:rsidP="005A3381">
      <w:pPr>
        <w:pBdr>
          <w:top w:val="none" w:sz="0" w:space="0" w:color="auto"/>
          <w:left w:val="none" w:sz="0" w:space="0" w:color="auto"/>
          <w:bottom w:val="none" w:sz="0" w:space="0" w:color="auto"/>
          <w:right w:val="none" w:sz="0" w:space="0" w:color="auto"/>
        </w:pBdr>
      </w:pPr>
      <w:r>
        <w:continuationSeparator/>
      </w:r>
    </w:p>
  </w:footnote>
  <w:footnote w:id="1">
    <w:p w14:paraId="697F39D2" w14:textId="77777777" w:rsidR="00000000" w:rsidRDefault="00E42789" w:rsidP="00F55B75">
      <w:pPr>
        <w:pStyle w:val="FootnoteText"/>
      </w:pPr>
      <w:r>
        <w:rPr>
          <w:rStyle w:val="FootnoteReference"/>
        </w:rPr>
        <w:footnoteRef/>
      </w:r>
      <w:r w:rsidRPr="009F3CD3">
        <w:rPr>
          <w:rFonts w:ascii="Calibri" w:hAnsi="Calibri"/>
        </w:rPr>
        <w:t xml:space="preserve"> COOK, SHARON ANNE, LORNA R. </w:t>
      </w:r>
      <w:proofErr w:type="spellStart"/>
      <w:r w:rsidRPr="009F3CD3">
        <w:rPr>
          <w:rFonts w:ascii="Calibri" w:hAnsi="Calibri"/>
        </w:rPr>
        <w:t>McLEAN</w:t>
      </w:r>
      <w:proofErr w:type="spellEnd"/>
      <w:r w:rsidR="009F3CD3">
        <w:rPr>
          <w:rFonts w:ascii="Calibri" w:hAnsi="Calibri"/>
        </w:rPr>
        <w:t xml:space="preserve"> </w:t>
      </w:r>
      <w:r w:rsidRPr="009F3CD3">
        <w:rPr>
          <w:rFonts w:ascii="Calibri" w:hAnsi="Calibri"/>
        </w:rPr>
        <w:t xml:space="preserve">et KATE O’ROURKE, </w:t>
      </w:r>
      <w:proofErr w:type="spellStart"/>
      <w:r w:rsidRPr="009F3CD3">
        <w:rPr>
          <w:rFonts w:ascii="Calibri" w:hAnsi="Calibri"/>
        </w:rPr>
        <w:t>réd</w:t>
      </w:r>
      <w:proofErr w:type="spellEnd"/>
      <w:r w:rsidRPr="009F3CD3">
        <w:rPr>
          <w:rFonts w:ascii="Calibri" w:hAnsi="Calibri"/>
        </w:rPr>
        <w:t xml:space="preserve">. </w:t>
      </w:r>
      <w:r w:rsidRPr="009F3CD3">
        <w:rPr>
          <w:rFonts w:ascii="Calibri" w:hAnsi="Calibri"/>
          <w:i/>
          <w:iCs/>
        </w:rPr>
        <w:t>Framing Our Past: Constructing Canadian Women</w:t>
      </w:r>
      <w:r w:rsidR="007B2EFE">
        <w:rPr>
          <w:rFonts w:ascii="Calibri" w:hAnsi="Calibri"/>
          <w:i/>
          <w:iCs/>
        </w:rPr>
        <w:t>’</w:t>
      </w:r>
      <w:r w:rsidRPr="009F3CD3">
        <w:rPr>
          <w:rFonts w:ascii="Calibri" w:hAnsi="Calibri"/>
          <w:i/>
          <w:iCs/>
        </w:rPr>
        <w:t>s History in the Twentieth Century</w:t>
      </w:r>
      <w:r w:rsidRPr="009F3CD3">
        <w:rPr>
          <w:rFonts w:ascii="Calibri" w:hAnsi="Calibri"/>
        </w:rPr>
        <w:t>, p.</w:t>
      </w:r>
      <w:r w:rsidR="007B2EFE">
        <w:rPr>
          <w:rFonts w:ascii="Calibri" w:hAnsi="Calibri"/>
        </w:rPr>
        <w:t> </w:t>
      </w:r>
      <w:r w:rsidRPr="009F3CD3">
        <w:rPr>
          <w:rFonts w:ascii="Calibri" w:hAnsi="Calibri"/>
        </w:rPr>
        <w:t xml:space="preserve">327. </w:t>
      </w:r>
      <w:r w:rsidRPr="007B2EFE">
        <w:rPr>
          <w:rFonts w:ascii="Calibri" w:hAnsi="Calibri"/>
        </w:rPr>
        <w:t>McGill-Queen</w:t>
      </w:r>
      <w:r w:rsidR="007B2EFE" w:rsidRPr="007B2EFE">
        <w:rPr>
          <w:rFonts w:ascii="Calibri" w:hAnsi="Calibri"/>
        </w:rPr>
        <w:t>’</w:t>
      </w:r>
      <w:r w:rsidRPr="007B2EFE">
        <w:rPr>
          <w:rFonts w:ascii="Calibri" w:hAnsi="Calibri"/>
        </w:rPr>
        <w:t xml:space="preserve">s University Press, 2001.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1892" w14:textId="77777777" w:rsidR="008D2E56" w:rsidRDefault="009F3CD3" w:rsidP="00694E3A">
    <w:pPr>
      <w:pStyle w:val="Header"/>
      <w:pBdr>
        <w:bottom w:val="thickThinSmallGap" w:sz="24" w:space="1" w:color="622423" w:themeColor="accent2" w:themeShade="7F"/>
      </w:pBdr>
      <w:jc w:val="center"/>
      <w:rPr>
        <w:rFonts w:ascii="Cambria" w:hAnsi="Cambria"/>
        <w:sz w:val="28"/>
        <w:szCs w:val="28"/>
        <w:lang w:val="fr-CA"/>
      </w:rPr>
    </w:pPr>
    <w:r>
      <w:rPr>
        <w:rFonts w:ascii="Cambria" w:eastAsia="MS Gothic" w:hAnsi="Cambria"/>
        <w:b/>
        <w:sz w:val="26"/>
        <w:szCs w:val="26"/>
        <w:lang w:val="fr-CA"/>
      </w:rPr>
      <w:t>Les travailleurs : histoire du mouvement ouvrier en Colombie</w:t>
    </w:r>
    <w:r w:rsidR="007B2EFE">
      <w:rPr>
        <w:rFonts w:ascii="Cambria" w:eastAsia="MS Gothic" w:hAnsi="Cambria"/>
        <w:b/>
        <w:sz w:val="26"/>
        <w:szCs w:val="26"/>
        <w:lang w:val="fr-CA"/>
      </w:rPr>
      <w:t>-</w:t>
    </w:r>
    <w:r>
      <w:rPr>
        <w:rFonts w:ascii="Cambria" w:eastAsia="MS Gothic" w:hAnsi="Cambria"/>
        <w:b/>
        <w:sz w:val="26"/>
        <w:szCs w:val="26"/>
        <w:lang w:val="fr-CA"/>
      </w:rPr>
      <w:t>Britannique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FFFFFFFF"/>
    <w:lvl w:ilvl="0">
      <w:start w:val="1"/>
      <w:numFmt w:val="bullet"/>
      <w:lvlText w:val="●"/>
      <w:lvlJc w:val="left"/>
      <w:pPr>
        <w:ind w:left="720" w:firstLine="360"/>
      </w:pPr>
      <w:rPr>
        <w:rFonts w:ascii="Arial" w:eastAsia="Times New Roman" w:hAnsi="Arial"/>
      </w:rPr>
    </w:lvl>
    <w:lvl w:ilvl="1">
      <w:start w:val="1"/>
      <w:numFmt w:val="bullet"/>
      <w:lvlText w:val="o"/>
      <w:lvlJc w:val="left"/>
      <w:pPr>
        <w:ind w:left="1440" w:firstLine="1080"/>
      </w:pPr>
      <w:rPr>
        <w:rFonts w:ascii="Arial" w:eastAsia="Times New Roman" w:hAnsi="Arial"/>
      </w:rPr>
    </w:lvl>
    <w:lvl w:ilvl="2">
      <w:start w:val="1"/>
      <w:numFmt w:val="bullet"/>
      <w:lvlText w:val="▪"/>
      <w:lvlJc w:val="left"/>
      <w:pPr>
        <w:ind w:left="2160" w:firstLine="1800"/>
      </w:pPr>
      <w:rPr>
        <w:rFonts w:ascii="Arial" w:eastAsia="Times New Roman" w:hAnsi="Arial"/>
      </w:rPr>
    </w:lvl>
    <w:lvl w:ilvl="3">
      <w:start w:val="1"/>
      <w:numFmt w:val="bullet"/>
      <w:lvlText w:val="●"/>
      <w:lvlJc w:val="left"/>
      <w:pPr>
        <w:ind w:left="2880" w:firstLine="2520"/>
      </w:pPr>
      <w:rPr>
        <w:rFonts w:ascii="Arial" w:eastAsia="Times New Roman" w:hAnsi="Arial"/>
      </w:rPr>
    </w:lvl>
    <w:lvl w:ilvl="4">
      <w:start w:val="1"/>
      <w:numFmt w:val="bullet"/>
      <w:lvlText w:val="o"/>
      <w:lvlJc w:val="left"/>
      <w:pPr>
        <w:ind w:left="3600" w:firstLine="3240"/>
      </w:pPr>
      <w:rPr>
        <w:rFonts w:ascii="Arial" w:eastAsia="Times New Roman" w:hAnsi="Arial"/>
      </w:rPr>
    </w:lvl>
    <w:lvl w:ilvl="5">
      <w:start w:val="1"/>
      <w:numFmt w:val="bullet"/>
      <w:lvlText w:val="▪"/>
      <w:lvlJc w:val="left"/>
      <w:pPr>
        <w:ind w:left="4320" w:firstLine="3960"/>
      </w:pPr>
      <w:rPr>
        <w:rFonts w:ascii="Arial" w:eastAsia="Times New Roman" w:hAnsi="Arial"/>
      </w:rPr>
    </w:lvl>
    <w:lvl w:ilvl="6">
      <w:start w:val="1"/>
      <w:numFmt w:val="bullet"/>
      <w:lvlText w:val="●"/>
      <w:lvlJc w:val="left"/>
      <w:pPr>
        <w:ind w:left="5040" w:firstLine="4680"/>
      </w:pPr>
      <w:rPr>
        <w:rFonts w:ascii="Arial" w:eastAsia="Times New Roman" w:hAnsi="Arial"/>
      </w:rPr>
    </w:lvl>
    <w:lvl w:ilvl="7">
      <w:start w:val="1"/>
      <w:numFmt w:val="bullet"/>
      <w:lvlText w:val="o"/>
      <w:lvlJc w:val="left"/>
      <w:pPr>
        <w:ind w:left="5760" w:firstLine="5400"/>
      </w:pPr>
      <w:rPr>
        <w:rFonts w:ascii="Arial" w:eastAsia="Times New Roman" w:hAnsi="Arial"/>
      </w:rPr>
    </w:lvl>
    <w:lvl w:ilvl="8">
      <w:start w:val="1"/>
      <w:numFmt w:val="bullet"/>
      <w:lvlText w:val="▪"/>
      <w:lvlJc w:val="left"/>
      <w:pPr>
        <w:ind w:left="6480" w:firstLine="6120"/>
      </w:pPr>
      <w:rPr>
        <w:rFonts w:ascii="Arial" w:eastAsia="Times New Roman" w:hAnsi="Arial"/>
      </w:rPr>
    </w:lvl>
  </w:abstractNum>
  <w:abstractNum w:abstractNumId="1" w15:restartNumberingAfterBreak="0">
    <w:nsid w:val="535F20A6"/>
    <w:multiLevelType w:val="hybridMultilevel"/>
    <w:tmpl w:val="FFFFFFFF"/>
    <w:lvl w:ilvl="0" w:tplc="249CF976">
      <w:start w:val="1"/>
      <w:numFmt w:val="decimal"/>
      <w:lvlText w:val="%1."/>
      <w:lvlJc w:val="left"/>
      <w:pPr>
        <w:ind w:left="720" w:hanging="360"/>
      </w:pPr>
      <w:rPr>
        <w:rFonts w:cs="Times New Roman"/>
      </w:rPr>
    </w:lvl>
    <w:lvl w:ilvl="1" w:tplc="DC2ACA1E" w:tentative="1">
      <w:start w:val="1"/>
      <w:numFmt w:val="lowerLetter"/>
      <w:lvlText w:val="%2."/>
      <w:lvlJc w:val="left"/>
      <w:pPr>
        <w:ind w:left="1440" w:hanging="360"/>
      </w:pPr>
      <w:rPr>
        <w:rFonts w:cs="Times New Roman"/>
      </w:rPr>
    </w:lvl>
    <w:lvl w:ilvl="2" w:tplc="723AB652" w:tentative="1">
      <w:start w:val="1"/>
      <w:numFmt w:val="lowerRoman"/>
      <w:lvlText w:val="%3."/>
      <w:lvlJc w:val="right"/>
      <w:pPr>
        <w:ind w:left="2160" w:hanging="180"/>
      </w:pPr>
      <w:rPr>
        <w:rFonts w:cs="Times New Roman"/>
      </w:rPr>
    </w:lvl>
    <w:lvl w:ilvl="3" w:tplc="E22C473E" w:tentative="1">
      <w:start w:val="1"/>
      <w:numFmt w:val="decimal"/>
      <w:lvlText w:val="%4."/>
      <w:lvlJc w:val="left"/>
      <w:pPr>
        <w:ind w:left="2880" w:hanging="360"/>
      </w:pPr>
      <w:rPr>
        <w:rFonts w:cs="Times New Roman"/>
      </w:rPr>
    </w:lvl>
    <w:lvl w:ilvl="4" w:tplc="9A1CD4F6" w:tentative="1">
      <w:start w:val="1"/>
      <w:numFmt w:val="lowerLetter"/>
      <w:lvlText w:val="%5."/>
      <w:lvlJc w:val="left"/>
      <w:pPr>
        <w:ind w:left="3600" w:hanging="360"/>
      </w:pPr>
      <w:rPr>
        <w:rFonts w:cs="Times New Roman"/>
      </w:rPr>
    </w:lvl>
    <w:lvl w:ilvl="5" w:tplc="647C69EE" w:tentative="1">
      <w:start w:val="1"/>
      <w:numFmt w:val="lowerRoman"/>
      <w:lvlText w:val="%6."/>
      <w:lvlJc w:val="right"/>
      <w:pPr>
        <w:ind w:left="4320" w:hanging="180"/>
      </w:pPr>
      <w:rPr>
        <w:rFonts w:cs="Times New Roman"/>
      </w:rPr>
    </w:lvl>
    <w:lvl w:ilvl="6" w:tplc="6ABAE33A" w:tentative="1">
      <w:start w:val="1"/>
      <w:numFmt w:val="decimal"/>
      <w:lvlText w:val="%7."/>
      <w:lvlJc w:val="left"/>
      <w:pPr>
        <w:ind w:left="5040" w:hanging="360"/>
      </w:pPr>
      <w:rPr>
        <w:rFonts w:cs="Times New Roman"/>
      </w:rPr>
    </w:lvl>
    <w:lvl w:ilvl="7" w:tplc="AADEA90E" w:tentative="1">
      <w:start w:val="1"/>
      <w:numFmt w:val="lowerLetter"/>
      <w:lvlText w:val="%8."/>
      <w:lvlJc w:val="left"/>
      <w:pPr>
        <w:ind w:left="5760" w:hanging="360"/>
      </w:pPr>
      <w:rPr>
        <w:rFonts w:cs="Times New Roman"/>
      </w:rPr>
    </w:lvl>
    <w:lvl w:ilvl="8" w:tplc="F3EAD776" w:tentative="1">
      <w:start w:val="1"/>
      <w:numFmt w:val="lowerRoman"/>
      <w:lvlText w:val="%9."/>
      <w:lvlJc w:val="right"/>
      <w:pPr>
        <w:ind w:left="6480" w:hanging="180"/>
      </w:pPr>
      <w:rPr>
        <w:rFonts w:cs="Times New Roman"/>
      </w:rPr>
    </w:lvl>
  </w:abstractNum>
  <w:num w:numId="1" w16cid:durableId="2066365356">
    <w:abstractNumId w:val="0"/>
  </w:num>
  <w:num w:numId="2" w16cid:durableId="137577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FCA"/>
    <w:rsid w:val="0006543A"/>
    <w:rsid w:val="000E33F4"/>
    <w:rsid w:val="00123122"/>
    <w:rsid w:val="00137D6F"/>
    <w:rsid w:val="00176386"/>
    <w:rsid w:val="001E7847"/>
    <w:rsid w:val="00224CFE"/>
    <w:rsid w:val="00242FCA"/>
    <w:rsid w:val="00247254"/>
    <w:rsid w:val="002C7B9A"/>
    <w:rsid w:val="0031172A"/>
    <w:rsid w:val="0034199A"/>
    <w:rsid w:val="00346934"/>
    <w:rsid w:val="003B7FA9"/>
    <w:rsid w:val="0042475C"/>
    <w:rsid w:val="00465216"/>
    <w:rsid w:val="004904B2"/>
    <w:rsid w:val="004929ED"/>
    <w:rsid w:val="004E4085"/>
    <w:rsid w:val="004F49A5"/>
    <w:rsid w:val="00540498"/>
    <w:rsid w:val="005A3381"/>
    <w:rsid w:val="005D5E08"/>
    <w:rsid w:val="005E3009"/>
    <w:rsid w:val="00684605"/>
    <w:rsid w:val="00694E3A"/>
    <w:rsid w:val="006F52DA"/>
    <w:rsid w:val="007B2EFE"/>
    <w:rsid w:val="007E18D9"/>
    <w:rsid w:val="007E7322"/>
    <w:rsid w:val="0086484F"/>
    <w:rsid w:val="00884EFA"/>
    <w:rsid w:val="008926ED"/>
    <w:rsid w:val="008B4154"/>
    <w:rsid w:val="008C3096"/>
    <w:rsid w:val="008D2E56"/>
    <w:rsid w:val="00902DAF"/>
    <w:rsid w:val="009352DA"/>
    <w:rsid w:val="009B3C06"/>
    <w:rsid w:val="009C6977"/>
    <w:rsid w:val="009F3CD3"/>
    <w:rsid w:val="00A069E9"/>
    <w:rsid w:val="00A2162B"/>
    <w:rsid w:val="00AF6CE9"/>
    <w:rsid w:val="00B057B0"/>
    <w:rsid w:val="00B76EBF"/>
    <w:rsid w:val="00BB4AB1"/>
    <w:rsid w:val="00C74244"/>
    <w:rsid w:val="00D35283"/>
    <w:rsid w:val="00DA7B65"/>
    <w:rsid w:val="00DB5E1D"/>
    <w:rsid w:val="00E42789"/>
    <w:rsid w:val="00E86B2F"/>
    <w:rsid w:val="00E9714A"/>
    <w:rsid w:val="00F051FC"/>
    <w:rsid w:val="00F55B75"/>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4B3A2"/>
  <w14:defaultImageDpi w14:val="0"/>
  <w15:docId w15:val="{30349DFA-3123-4DF5-B0A0-C5C29C6B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rsid w:val="00F55B75"/>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Arial Unicode MS"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pBdr>
        <w:top w:val="none" w:sz="0" w:space="0" w:color="auto"/>
        <w:left w:val="none" w:sz="0" w:space="0" w:color="auto"/>
        <w:bottom w:val="none" w:sz="0" w:space="0" w:color="auto"/>
        <w:right w:val="none" w:sz="0" w:space="0" w:color="auto"/>
      </w:pBdr>
      <w:tabs>
        <w:tab w:val="center" w:pos="4680"/>
        <w:tab w:val="right" w:pos="9360"/>
      </w:tabs>
    </w:pPr>
    <w:rPr>
      <w:rFonts w:asciiTheme="minorHAnsi" w:eastAsia="Times New Roman" w:hAnsiTheme="minorHAnsi"/>
      <w:sz w:val="22"/>
      <w:szCs w:val="22"/>
      <w:lang w:val="en-CA"/>
    </w:rPr>
  </w:style>
  <w:style w:type="character" w:customStyle="1" w:styleId="HeaderChar">
    <w:name w:val="Header Char"/>
    <w:basedOn w:val="DefaultParagraphFont"/>
    <w:link w:val="Header"/>
    <w:uiPriority w:val="99"/>
    <w:locked/>
    <w:rsid w:val="005A3381"/>
    <w:rPr>
      <w:rFonts w:cs="Times New Roman"/>
    </w:rPr>
  </w:style>
  <w:style w:type="paragraph" w:styleId="Footer">
    <w:name w:val="footer"/>
    <w:basedOn w:val="Normal"/>
    <w:link w:val="FooterChar"/>
    <w:uiPriority w:val="99"/>
    <w:unhideWhenUsed/>
    <w:rsid w:val="005A3381"/>
    <w:pPr>
      <w:pBdr>
        <w:top w:val="none" w:sz="0" w:space="0" w:color="auto"/>
        <w:left w:val="none" w:sz="0" w:space="0" w:color="auto"/>
        <w:bottom w:val="none" w:sz="0" w:space="0" w:color="auto"/>
        <w:right w:val="none" w:sz="0" w:space="0" w:color="auto"/>
      </w:pBdr>
      <w:tabs>
        <w:tab w:val="center" w:pos="4680"/>
        <w:tab w:val="right" w:pos="9360"/>
      </w:tabs>
    </w:pPr>
    <w:rPr>
      <w:rFonts w:asciiTheme="minorHAnsi" w:eastAsia="Times New Roman" w:hAnsiTheme="minorHAnsi"/>
      <w:sz w:val="22"/>
      <w:szCs w:val="22"/>
      <w:lang w:val="en-CA"/>
    </w:rPr>
  </w:style>
  <w:style w:type="character" w:customStyle="1" w:styleId="FooterChar">
    <w:name w:val="Footer Char"/>
    <w:basedOn w:val="DefaultParagraphFont"/>
    <w:link w:val="Footer"/>
    <w:uiPriority w:val="99"/>
    <w:locked/>
    <w:rsid w:val="005A3381"/>
    <w:rPr>
      <w:rFonts w:cs="Times New Roman"/>
    </w:rPr>
  </w:style>
  <w:style w:type="paragraph" w:styleId="BalloonText">
    <w:name w:val="Balloon Text"/>
    <w:basedOn w:val="Normal"/>
    <w:link w:val="BalloonTextChar"/>
    <w:uiPriority w:val="99"/>
    <w:semiHidden/>
    <w:unhideWhenUsed/>
    <w:rsid w:val="005A3381"/>
    <w:pPr>
      <w:pBdr>
        <w:top w:val="none" w:sz="0" w:space="0" w:color="auto"/>
        <w:left w:val="none" w:sz="0" w:space="0" w:color="auto"/>
        <w:bottom w:val="none" w:sz="0" w:space="0" w:color="auto"/>
        <w:right w:val="none" w:sz="0" w:space="0" w:color="auto"/>
      </w:pBdr>
    </w:pPr>
    <w:rPr>
      <w:rFonts w:ascii="Tahoma" w:eastAsia="Times New Roman" w:hAnsi="Tahoma" w:cs="Tahoma"/>
      <w:sz w:val="16"/>
      <w:szCs w:val="16"/>
      <w:lang w:val="en-CA"/>
    </w:rPr>
  </w:style>
  <w:style w:type="character" w:customStyle="1" w:styleId="BalloonTextChar">
    <w:name w:val="Balloon Text Char"/>
    <w:basedOn w:val="DefaultParagraphFont"/>
    <w:link w:val="BalloonText"/>
    <w:uiPriority w:val="99"/>
    <w:semiHidden/>
    <w:locked/>
    <w:rsid w:val="005A3381"/>
    <w:rPr>
      <w:rFonts w:ascii="Tahoma" w:hAnsi="Tahoma" w:cs="Tahoma"/>
      <w:sz w:val="16"/>
      <w:szCs w:val="16"/>
    </w:rPr>
  </w:style>
  <w:style w:type="paragraph" w:customStyle="1" w:styleId="Normal1">
    <w:name w:val="Normal1"/>
    <w:rsid w:val="0086484F"/>
    <w:pPr>
      <w:widowControl w:val="0"/>
    </w:pPr>
    <w:rPr>
      <w:rFonts w:ascii="Calibri" w:hAnsi="Calibri" w:cs="Calibri"/>
      <w:color w:val="000000"/>
      <w:lang w:eastAsia="en-CA"/>
    </w:rPr>
  </w:style>
  <w:style w:type="paragraph" w:customStyle="1" w:styleId="Vocabulary">
    <w:name w:val="Vocabulary"/>
    <w:basedOn w:val="Normal"/>
    <w:qFormat/>
    <w:rsid w:val="009352DA"/>
    <w:pPr>
      <w:pBdr>
        <w:top w:val="none" w:sz="0" w:space="0" w:color="auto"/>
        <w:left w:val="none" w:sz="0" w:space="0" w:color="auto"/>
        <w:bottom w:val="none" w:sz="0" w:space="0" w:color="auto"/>
        <w:right w:val="none" w:sz="0" w:space="0" w:color="auto"/>
      </w:pBdr>
      <w:spacing w:after="200" w:line="276" w:lineRule="auto"/>
      <w:ind w:left="360" w:hanging="360"/>
    </w:pPr>
    <w:rPr>
      <w:rFonts w:asciiTheme="majorHAnsi" w:eastAsia="Times New Roman" w:hAnsiTheme="majorHAnsi"/>
      <w:lang w:val="en-CA"/>
    </w:rPr>
  </w:style>
  <w:style w:type="character" w:styleId="Hyperlink">
    <w:name w:val="Hyperlink"/>
    <w:basedOn w:val="DefaultParagraphFont"/>
    <w:uiPriority w:val="99"/>
    <w:unhideWhenUsed/>
    <w:rsid w:val="005D5E08"/>
    <w:rPr>
      <w:rFonts w:cs="Times New Roman"/>
      <w:color w:val="0000FF" w:themeColor="hyperlink"/>
      <w:u w:val="single"/>
    </w:rPr>
  </w:style>
  <w:style w:type="paragraph" w:styleId="FootnoteText">
    <w:name w:val="footnote text"/>
    <w:basedOn w:val="Normal"/>
    <w:link w:val="FootnoteTextChar"/>
    <w:uiPriority w:val="99"/>
    <w:unhideWhenUsed/>
    <w:rsid w:val="00F55B75"/>
    <w:pPr>
      <w:pBdr>
        <w:top w:val="none" w:sz="0" w:space="0" w:color="auto"/>
        <w:left w:val="none" w:sz="0" w:space="0" w:color="auto"/>
        <w:bottom w:val="none" w:sz="0" w:space="0" w:color="auto"/>
        <w:right w:val="none" w:sz="0" w:space="0" w:color="auto"/>
      </w:pBdr>
    </w:pPr>
    <w:rPr>
      <w:rFonts w:asciiTheme="minorHAnsi" w:eastAsia="Times New Roman" w:hAnsiTheme="minorHAnsi"/>
      <w:sz w:val="20"/>
      <w:szCs w:val="20"/>
    </w:rPr>
  </w:style>
  <w:style w:type="character" w:customStyle="1" w:styleId="FootnoteTextChar">
    <w:name w:val="Footnote Text Char"/>
    <w:basedOn w:val="DefaultParagraphFont"/>
    <w:link w:val="FootnoteText"/>
    <w:uiPriority w:val="99"/>
    <w:locked/>
    <w:rsid w:val="00F55B75"/>
    <w:rPr>
      <w:rFonts w:cs="Times New Roman"/>
      <w:sz w:val="20"/>
      <w:szCs w:val="20"/>
      <w:lang w:val="en-US" w:eastAsia="x-none"/>
    </w:rPr>
  </w:style>
  <w:style w:type="character" w:styleId="FootnoteReference">
    <w:name w:val="footnote reference"/>
    <w:basedOn w:val="DefaultParagraphFont"/>
    <w:uiPriority w:val="99"/>
    <w:semiHidden/>
    <w:unhideWhenUsed/>
    <w:rsid w:val="00F55B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xf\Documents\xAxford's%20Documents\Labour%20History%20Project\HP%20Desktop%20files%20and%20folders\LHP\Template\WP%20Supplemental%20materi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 v.2</Template>
  <TotalTime>3</TotalTime>
  <Pages>2</Pages>
  <Words>573</Words>
  <Characters>3245</Characters>
  <Application>Microsoft Office Word</Application>
  <DocSecurity>0</DocSecurity>
  <Lines>95</Lines>
  <Paragraphs>29</Paragraphs>
  <ScaleCrop>false</ScaleCrop>
  <HeadingPairs>
    <vt:vector size="2" baseType="variant">
      <vt:variant>
        <vt:lpstr>Title</vt:lpstr>
      </vt:variant>
      <vt:variant>
        <vt:i4>1</vt:i4>
      </vt:variant>
    </vt:vector>
  </HeadingPairs>
  <TitlesOfParts>
    <vt:vector size="1" baseType="lpstr">
      <vt:lpstr>Les travailleurs : histoire du mouvement ouvrier en Colombie-Britannique</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subject/>
  <dc:creator>Wayne Axford</dc:creator>
  <cp:keywords/>
  <dc:description/>
  <cp:lastModifiedBy>Wayne Axford</cp:lastModifiedBy>
  <cp:revision>2</cp:revision>
  <cp:lastPrinted>2014-08-09T22:32:00Z</cp:lastPrinted>
  <dcterms:created xsi:type="dcterms:W3CDTF">2022-09-27T04:15:00Z</dcterms:created>
  <dcterms:modified xsi:type="dcterms:W3CDTF">2022-09-27T04:15:00Z</dcterms:modified>
</cp:coreProperties>
</file>