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381" w:rsidRPr="005E3009" w:rsidRDefault="00AC6CE4" w:rsidP="00AC6CE4">
      <w:pPr>
        <w:tabs>
          <w:tab w:val="right" w:pos="9360"/>
        </w:tabs>
        <w:rPr>
          <w:rFonts w:asciiTheme="majorHAnsi" w:hAnsiTheme="majorHAnsi"/>
          <w:sz w:val="32"/>
          <w:szCs w:val="32"/>
        </w:rPr>
      </w:pPr>
      <w:r>
        <w:rPr>
          <w:rFonts w:asciiTheme="majorHAnsi" w:hAnsiTheme="majorHAnsi"/>
          <w:sz w:val="32"/>
          <w:szCs w:val="32"/>
        </w:rPr>
        <w:t>Lesson Activity 1</w:t>
      </w:r>
      <w:r>
        <w:rPr>
          <w:rFonts w:asciiTheme="majorHAnsi" w:hAnsiTheme="majorHAnsi"/>
          <w:sz w:val="32"/>
          <w:szCs w:val="32"/>
        </w:rPr>
        <w:tab/>
      </w:r>
      <w:r w:rsidR="005A3381" w:rsidRPr="005E3009">
        <w:rPr>
          <w:rFonts w:asciiTheme="majorHAnsi" w:hAnsiTheme="majorHAnsi"/>
          <w:sz w:val="32"/>
          <w:szCs w:val="32"/>
        </w:rPr>
        <w:t xml:space="preserve">Lesson: </w:t>
      </w:r>
      <w:r>
        <w:rPr>
          <w:rFonts w:asciiTheme="majorHAnsi" w:hAnsiTheme="majorHAnsi"/>
          <w:sz w:val="32"/>
          <w:szCs w:val="32"/>
        </w:rPr>
        <w:t>Helen</w:t>
      </w:r>
      <w:r w:rsidR="00630BE1">
        <w:rPr>
          <w:rFonts w:asciiTheme="majorHAnsi" w:hAnsiTheme="majorHAnsi"/>
          <w:sz w:val="32"/>
          <w:szCs w:val="32"/>
        </w:rPr>
        <w:t>a</w:t>
      </w:r>
      <w:r>
        <w:rPr>
          <w:rFonts w:asciiTheme="majorHAnsi" w:hAnsiTheme="majorHAnsi"/>
          <w:sz w:val="32"/>
          <w:szCs w:val="32"/>
        </w:rPr>
        <w:t xml:space="preserve"> Gutteridge</w:t>
      </w:r>
    </w:p>
    <w:p w:rsidR="00306ECB" w:rsidRPr="00AC6CE4" w:rsidRDefault="00306ECB" w:rsidP="00AC6CE4">
      <w:pPr>
        <w:jc w:val="center"/>
        <w:rPr>
          <w:rFonts w:asciiTheme="majorHAnsi" w:hAnsiTheme="majorHAnsi"/>
          <w:sz w:val="28"/>
          <w:szCs w:val="28"/>
        </w:rPr>
      </w:pPr>
      <w:r w:rsidRPr="00AC6CE4">
        <w:rPr>
          <w:rFonts w:asciiTheme="majorHAnsi" w:hAnsiTheme="majorHAnsi"/>
          <w:sz w:val="28"/>
          <w:szCs w:val="28"/>
        </w:rPr>
        <w:t xml:space="preserve">Helena Gutteridge:  Unionist, </w:t>
      </w:r>
      <w:r w:rsidR="00AC6CE4" w:rsidRPr="00AC6CE4">
        <w:rPr>
          <w:rFonts w:asciiTheme="majorHAnsi" w:hAnsiTheme="majorHAnsi"/>
          <w:sz w:val="28"/>
          <w:szCs w:val="28"/>
        </w:rPr>
        <w:t>P</w:t>
      </w:r>
      <w:r w:rsidRPr="00AC6CE4">
        <w:rPr>
          <w:rFonts w:asciiTheme="majorHAnsi" w:hAnsiTheme="majorHAnsi"/>
          <w:sz w:val="28"/>
          <w:szCs w:val="28"/>
        </w:rPr>
        <w:t xml:space="preserve">eace </w:t>
      </w:r>
      <w:r w:rsidR="00AC6CE4" w:rsidRPr="00AC6CE4">
        <w:rPr>
          <w:rFonts w:asciiTheme="majorHAnsi" w:hAnsiTheme="majorHAnsi"/>
          <w:sz w:val="28"/>
          <w:szCs w:val="28"/>
        </w:rPr>
        <w:t>A</w:t>
      </w:r>
      <w:r w:rsidRPr="00AC6CE4">
        <w:rPr>
          <w:rFonts w:asciiTheme="majorHAnsi" w:hAnsiTheme="majorHAnsi"/>
          <w:sz w:val="28"/>
          <w:szCs w:val="28"/>
        </w:rPr>
        <w:t xml:space="preserve">ctivist, </w:t>
      </w:r>
      <w:r w:rsidR="00AC6CE4" w:rsidRPr="00AC6CE4">
        <w:rPr>
          <w:rFonts w:asciiTheme="majorHAnsi" w:hAnsiTheme="majorHAnsi"/>
          <w:sz w:val="28"/>
          <w:szCs w:val="28"/>
        </w:rPr>
        <w:t>P</w:t>
      </w:r>
      <w:r w:rsidRPr="00AC6CE4">
        <w:rPr>
          <w:rFonts w:asciiTheme="majorHAnsi" w:hAnsiTheme="majorHAnsi"/>
          <w:sz w:val="28"/>
          <w:szCs w:val="28"/>
        </w:rPr>
        <w:t xml:space="preserve">olitician and </w:t>
      </w:r>
      <w:r w:rsidR="00AC6CE4" w:rsidRPr="00AC6CE4">
        <w:rPr>
          <w:rFonts w:asciiTheme="majorHAnsi" w:hAnsiTheme="majorHAnsi"/>
          <w:sz w:val="28"/>
          <w:szCs w:val="28"/>
        </w:rPr>
        <w:t>T</w:t>
      </w:r>
      <w:r w:rsidRPr="00AC6CE4">
        <w:rPr>
          <w:rFonts w:asciiTheme="majorHAnsi" w:hAnsiTheme="majorHAnsi"/>
          <w:sz w:val="28"/>
          <w:szCs w:val="28"/>
        </w:rPr>
        <w:t>ailor</w:t>
      </w:r>
    </w:p>
    <w:p w:rsidR="00306ECB" w:rsidRDefault="00306ECB" w:rsidP="00AD0051">
      <w:pPr>
        <w:pStyle w:val="Reading"/>
      </w:pPr>
      <w:r w:rsidRPr="00AD0051">
        <w:t xml:space="preserve">In 1937, Helena Gutteridge was elected Vancouver’s first woman City </w:t>
      </w:r>
      <w:r w:rsidR="00EF59CD" w:rsidRPr="00AD0051">
        <w:t>Councillor (</w:t>
      </w:r>
      <w:r w:rsidRPr="00AD0051">
        <w:t xml:space="preserve">alderman in the usage of the time).  In many ways, this was a remarkable achievement.  Some Canadian women had received the franchise a scant 20 years earlier, while others, of non-European heritage, had yet to obtain that right.  As a dynamic leader of the British Columbia women’s suffrage movement, Gutteridge played a key role in achieving that first victory.  As well, she was a militant and outspoken labour activist and leader.  She was also a member of the newly founded national left wing political party, the Cooperative Commonwealth Federation (CCF) the precursor to the New Democratic Party (NDP). The same year as she was elected, a new civic party called the Non-Partisan Association (NPA), founded by business interests and members of Vancouver’s ‘old guard’ of well-to-do families, aimed to prevent the CCF from gaining any ground on Vancouver’s civic scene. </w:t>
      </w:r>
    </w:p>
    <w:p w:rsidR="00AD0051" w:rsidRPr="00AD0051" w:rsidRDefault="00AD0051" w:rsidP="00AD0051">
      <w:pPr>
        <w:pStyle w:val="Reading"/>
        <w:numPr>
          <w:ilvl w:val="0"/>
          <w:numId w:val="0"/>
        </w:numPr>
      </w:pPr>
    </w:p>
    <w:p w:rsidR="00306ECB" w:rsidRDefault="00AD0051" w:rsidP="00AD0051">
      <w:pPr>
        <w:pStyle w:val="Reading"/>
        <w:numPr>
          <w:ilvl w:val="0"/>
          <w:numId w:val="0"/>
        </w:numPr>
      </w:pPr>
      <w:r>
        <w:tab/>
      </w:r>
      <w:r w:rsidR="00306ECB" w:rsidRPr="00AC6CE4">
        <w:t xml:space="preserve">Gutteridge had come to Vancouver from England in 1911, already a militant suffrage </w:t>
      </w:r>
      <w:proofErr w:type="gramStart"/>
      <w:r w:rsidR="00306ECB" w:rsidRPr="00AC6CE4">
        <w:t>activist,</w:t>
      </w:r>
      <w:proofErr w:type="gramEnd"/>
      <w:r w:rsidR="00306ECB" w:rsidRPr="00AC6CE4">
        <w:t xml:space="preserve"> trade unionist and </w:t>
      </w:r>
      <w:proofErr w:type="spellStart"/>
      <w:r w:rsidR="00306ECB" w:rsidRPr="00AC6CE4">
        <w:rPr>
          <w:u w:val="single"/>
        </w:rPr>
        <w:t>tailoress</w:t>
      </w:r>
      <w:proofErr w:type="spellEnd"/>
      <w:r w:rsidR="00306ECB" w:rsidRPr="00AC6CE4">
        <w:t xml:space="preserve"> who had helped organize laundry and garment workers.   She had begun her working life in a London clothing department, using her wages to pay for school and qualifying as a teacher with added credentials in </w:t>
      </w:r>
      <w:r w:rsidR="00306ECB" w:rsidRPr="00AC6CE4">
        <w:rPr>
          <w:u w:val="single"/>
        </w:rPr>
        <w:t xml:space="preserve">hygiene </w:t>
      </w:r>
      <w:r w:rsidR="00306ECB" w:rsidRPr="00AC6CE4">
        <w:t xml:space="preserve">and </w:t>
      </w:r>
      <w:r w:rsidR="00306ECB" w:rsidRPr="00AC6CE4">
        <w:rPr>
          <w:u w:val="single"/>
        </w:rPr>
        <w:t>sanitary science</w:t>
      </w:r>
      <w:r w:rsidR="00306ECB" w:rsidRPr="00AC6CE4">
        <w:t xml:space="preserve">.  London, at the turn of the century, was a lively and diverse crucible for intellectual, artistic and literary experimentation and for equally exciting political debate.  Women demanded the vote.  And, despite restrictive long skirts and attitudes that insisted they be ‘ladylike,’ suffragists would soon be throwing hammers through shop windows, getting arrested and going on hunger strikes!  Fiction writers explored real world issues and some used their pens to express a desire for social change.  </w:t>
      </w:r>
      <w:proofErr w:type="spellStart"/>
      <w:r w:rsidR="00306ECB" w:rsidRPr="00AC6CE4">
        <w:t>Gutteridge’s</w:t>
      </w:r>
      <w:proofErr w:type="spellEnd"/>
      <w:r w:rsidR="00306ECB" w:rsidRPr="00AC6CE4">
        <w:t xml:space="preserve"> worldview, as well as a strong dedication to the cause of Votes for Women, was formed in this heady environment.</w:t>
      </w:r>
    </w:p>
    <w:p w:rsidR="00AD0051" w:rsidRPr="00AC6CE4" w:rsidRDefault="00AD0051" w:rsidP="00AD0051">
      <w:pPr>
        <w:pStyle w:val="Reading"/>
        <w:numPr>
          <w:ilvl w:val="0"/>
          <w:numId w:val="0"/>
        </w:numPr>
      </w:pPr>
    </w:p>
    <w:p w:rsidR="00306ECB" w:rsidRDefault="00306ECB" w:rsidP="00AD0051">
      <w:pPr>
        <w:pStyle w:val="Reading"/>
      </w:pPr>
      <w:r w:rsidRPr="00AC6CE4">
        <w:t xml:space="preserve">When she arrived in Vancouver, an economic slump made life hard for workers, but as a skilled tailor, she got a job and soon threw herself into organizing unemployed women.  For 8 years, she worked for the franchise, for better wages and working conditions for women, to establish a Minimum Wage Act, and to ensure world peace.  In October of 1919, however, her life took a detour when she married Oliver </w:t>
      </w:r>
      <w:proofErr w:type="spellStart"/>
      <w:r w:rsidRPr="00AC6CE4">
        <w:t>Fearn</w:t>
      </w:r>
      <w:proofErr w:type="spellEnd"/>
      <w:r w:rsidRPr="00AC6CE4">
        <w:t>.  He was 26, she, 40.  They set up life together in the Fraser Valley, becoming poultry farmers.  Helena, as was her inclination, became enthusiastically involved in the political and social life of her new rural community.</w:t>
      </w:r>
    </w:p>
    <w:p w:rsidR="00AD0051" w:rsidRPr="00AC6CE4" w:rsidRDefault="00AD0051" w:rsidP="00AD0051">
      <w:pPr>
        <w:pStyle w:val="Reading"/>
        <w:numPr>
          <w:ilvl w:val="0"/>
          <w:numId w:val="0"/>
        </w:numPr>
      </w:pPr>
    </w:p>
    <w:p w:rsidR="00306ECB" w:rsidRDefault="00AD0051" w:rsidP="00AD0051">
      <w:pPr>
        <w:pStyle w:val="Reading"/>
        <w:numPr>
          <w:ilvl w:val="0"/>
          <w:numId w:val="0"/>
        </w:numPr>
      </w:pPr>
      <w:r>
        <w:tab/>
      </w:r>
      <w:r w:rsidR="00306ECB" w:rsidRPr="00AD0051">
        <w:t xml:space="preserve">By the early 1930s, however, Helena and Ollie </w:t>
      </w:r>
      <w:proofErr w:type="spellStart"/>
      <w:r w:rsidR="00306ECB" w:rsidRPr="00AD0051">
        <w:t>Fearn’s</w:t>
      </w:r>
      <w:proofErr w:type="spellEnd"/>
      <w:r w:rsidR="00306ECB" w:rsidRPr="00AD0051">
        <w:t xml:space="preserve"> marriage had failed and she was back in Vancouver, as well as back in the thick of political activity.  And what a time it was for her return.  In 1932, many of Canada’s various socialist groups had, along with radical farmers and Christians who preached the social gospel, formed a new federal political party.  It was going to change Canada’s capitalist economy to one based on the principles of modern social democracy, a co-operative commonwealth for all.   And, of course, Helena Gutteridge joined the Co-operative Commonwealth </w:t>
      </w:r>
      <w:r w:rsidR="00306ECB" w:rsidRPr="00AD0051">
        <w:lastRenderedPageBreak/>
        <w:t xml:space="preserve">Federation!  Right away, she started to travel the province, educating people about the new party and its vision and seeking to gather support.  </w:t>
      </w:r>
    </w:p>
    <w:p w:rsidR="00AD0051" w:rsidRPr="00AD0051" w:rsidRDefault="00AD0051" w:rsidP="00AD0051">
      <w:pPr>
        <w:pStyle w:val="Reading"/>
        <w:numPr>
          <w:ilvl w:val="0"/>
          <w:numId w:val="0"/>
        </w:numPr>
      </w:pPr>
    </w:p>
    <w:p w:rsidR="00AD0051" w:rsidRDefault="00AD0051" w:rsidP="00AD0051">
      <w:pPr>
        <w:pStyle w:val="Reading"/>
        <w:numPr>
          <w:ilvl w:val="0"/>
          <w:numId w:val="0"/>
        </w:numPr>
      </w:pPr>
      <w:r>
        <w:tab/>
      </w:r>
      <w:r w:rsidR="00306ECB" w:rsidRPr="00AD0051">
        <w:t xml:space="preserve">At this time, despite achieving a limited right to vote, very few women had formal political experience.  Moreover, their ambitions were further restricted by the prevailing gender norms.  Thus, women formed a distinct minority of those even choosing to run for elected positions.  In fact, most Vancouver women who did enter the local political fray did so for seats as School Trustees, relying on their experience as mothers in Parent-Teacher organizations. </w:t>
      </w:r>
    </w:p>
    <w:p w:rsidR="00306ECB" w:rsidRPr="00AD0051" w:rsidRDefault="00306ECB" w:rsidP="00AD0051">
      <w:pPr>
        <w:pStyle w:val="Reading"/>
        <w:numPr>
          <w:ilvl w:val="0"/>
          <w:numId w:val="0"/>
        </w:numPr>
      </w:pPr>
    </w:p>
    <w:p w:rsidR="00306ECB" w:rsidRDefault="00306ECB" w:rsidP="00AD0051">
      <w:pPr>
        <w:pStyle w:val="Reading"/>
      </w:pPr>
      <w:r w:rsidRPr="00AD0051">
        <w:t xml:space="preserve">As a candidate, Gutteridge certainly stood out and, as she had for years, she swam against the tide.  Although she had married, she had no children of her own. Despite this, however, she was known to refer to “women’s special qualities” and had suggested that the vote would help women take better care of their families and of the world at large.  (1.) For Gutteridge and for many of her sisters in the suffrage movement, the vote would be a crucial step in protecting against social inequality. For working class women, voting as a </w:t>
      </w:r>
      <w:proofErr w:type="gramStart"/>
      <w:r w:rsidRPr="00AD0051">
        <w:t>block,</w:t>
      </w:r>
      <w:proofErr w:type="gramEnd"/>
      <w:r w:rsidRPr="00AD0051">
        <w:t xml:space="preserve"> would help eliminate sweated labour, the undervaluing of women’s work and prostitution resulting from poverty. (2.) </w:t>
      </w:r>
    </w:p>
    <w:p w:rsidR="00AD0051" w:rsidRDefault="00AD0051" w:rsidP="00AD0051">
      <w:pPr>
        <w:pStyle w:val="Reading"/>
        <w:numPr>
          <w:ilvl w:val="0"/>
          <w:numId w:val="0"/>
        </w:numPr>
      </w:pPr>
    </w:p>
    <w:p w:rsidR="00306ECB" w:rsidRDefault="00AD0051" w:rsidP="00AD0051">
      <w:pPr>
        <w:pStyle w:val="Reading"/>
        <w:numPr>
          <w:ilvl w:val="0"/>
          <w:numId w:val="0"/>
        </w:numPr>
      </w:pPr>
      <w:r>
        <w:tab/>
      </w:r>
      <w:r w:rsidR="00306ECB" w:rsidRPr="00AD0051">
        <w:t xml:space="preserve">Her interest in caring for the wider world was obvious, too, in her two decades of active support for the cause of peace.  Immediately following World War One, she had been an early member of the Vancouver branch of the Women’s International League for Peace and Freedom (WILPF).  This global force had been established in 1915 in the Netherlands, and by the late 1930s was coming to terms with the rise of fascism in Europe.  While many peace groups maintained an absolute dedication to pacifism, the WILPF was, perhaps, more realistic than that, recognizing that fascism </w:t>
      </w:r>
      <w:proofErr w:type="gramStart"/>
      <w:r w:rsidR="00306ECB" w:rsidRPr="00AD0051">
        <w:t>might</w:t>
      </w:r>
      <w:proofErr w:type="gramEnd"/>
      <w:r w:rsidR="00306ECB" w:rsidRPr="00AD0051">
        <w:t xml:space="preserve"> require robust, even military, engagement.  Not surprisingly, a WILPF colleague described Helena Gutteridge as blunt, forthright and determined, with a sophisticated view of the world.  (3)</w:t>
      </w:r>
    </w:p>
    <w:p w:rsidR="00AD0051" w:rsidRPr="00AD0051" w:rsidRDefault="00AD0051" w:rsidP="00AD0051">
      <w:pPr>
        <w:pStyle w:val="Reading"/>
        <w:numPr>
          <w:ilvl w:val="0"/>
          <w:numId w:val="0"/>
        </w:numPr>
      </w:pPr>
    </w:p>
    <w:p w:rsidR="00306ECB" w:rsidRPr="00AD0051" w:rsidRDefault="00306ECB" w:rsidP="00AD0051">
      <w:pPr>
        <w:pStyle w:val="Reading"/>
      </w:pPr>
      <w:r w:rsidRPr="00AD0051">
        <w:t xml:space="preserve">These personal characteristics, as well as her ability as a powerful public speaker who could neither be bullied nor intimidated, served Gutteridge brilliantly in her key role as a labour organizer, union negotiator and political firebrand.   She had worked among unemployed women in 1914 who, she said wanted work, not charity.  That project evolved into another, which provided housing for fifty single women.  And it also stretched to strong advocacy provincially for higher wages for women, among </w:t>
      </w:r>
      <w:proofErr w:type="gramStart"/>
      <w:r w:rsidRPr="00AD0051">
        <w:t>whom</w:t>
      </w:r>
      <w:proofErr w:type="gramEnd"/>
      <w:r w:rsidRPr="00AD0051">
        <w:t xml:space="preserve"> were store clerks who might work for 77 hours a week and earn only $12.75 in total.  She saw that “Low wages, long hours and miserable working conditions become a threat to everything unions had won.” (4) Walsh) But, as was common even among rank and file workers, labour leaders and socialist politicians, not all workers were equal in </w:t>
      </w:r>
      <w:proofErr w:type="spellStart"/>
      <w:r w:rsidRPr="00AD0051">
        <w:t>Gutteridge’s</w:t>
      </w:r>
      <w:proofErr w:type="spellEnd"/>
      <w:r w:rsidRPr="00AD0051">
        <w:t xml:space="preserve"> estimation.    In 1915, she appeared at Vancouver City Hall to argue that Oriental (sic) hotel workers ought to be replaced by white women. (5.)  She said:</w:t>
      </w:r>
    </w:p>
    <w:p w:rsidR="00AD0051" w:rsidRDefault="00AD0051" w:rsidP="00AD0051">
      <w:pPr>
        <w:pStyle w:val="Reading"/>
        <w:numPr>
          <w:ilvl w:val="0"/>
          <w:numId w:val="0"/>
        </w:numPr>
      </w:pPr>
    </w:p>
    <w:p w:rsidR="00306ECB" w:rsidRPr="00AD0051" w:rsidRDefault="00AD0051" w:rsidP="00AD0051">
      <w:pPr>
        <w:pStyle w:val="Reading"/>
        <w:numPr>
          <w:ilvl w:val="0"/>
          <w:numId w:val="0"/>
        </w:numPr>
        <w:rPr>
          <w:i/>
        </w:rPr>
      </w:pPr>
      <w:r>
        <w:tab/>
      </w:r>
      <w:r w:rsidR="00306ECB" w:rsidRPr="00AD0051">
        <w:rPr>
          <w:i/>
        </w:rPr>
        <w:t>I have no color prejudice, but I think in this case and in the interest of efficient</w:t>
      </w:r>
      <w:r w:rsidR="00AC6CE4" w:rsidRPr="00AD0051">
        <w:rPr>
          <w:i/>
        </w:rPr>
        <w:t xml:space="preserve"> </w:t>
      </w:r>
      <w:r w:rsidR="00306ECB" w:rsidRPr="00AD0051">
        <w:rPr>
          <w:i/>
        </w:rPr>
        <w:t>white female labor in this city the board might</w:t>
      </w:r>
      <w:r w:rsidR="00AC6CE4" w:rsidRPr="00AD0051">
        <w:rPr>
          <w:i/>
        </w:rPr>
        <w:t xml:space="preserve"> put a while labor clause </w:t>
      </w:r>
      <w:r w:rsidR="00306ECB" w:rsidRPr="00AD0051">
        <w:rPr>
          <w:i/>
        </w:rPr>
        <w:t>granting of hotel licenses, so that work being done be Chinese help to-day, maybe done by white women who are now out of employment.  (6)</w:t>
      </w:r>
    </w:p>
    <w:p w:rsidR="00AD0051" w:rsidRPr="00AD0051" w:rsidRDefault="00AD0051" w:rsidP="00AD0051">
      <w:pPr>
        <w:pStyle w:val="Reading"/>
        <w:numPr>
          <w:ilvl w:val="0"/>
          <w:numId w:val="0"/>
        </w:numPr>
      </w:pPr>
    </w:p>
    <w:p w:rsidR="00306ECB" w:rsidRDefault="00AD0051" w:rsidP="00AD0051">
      <w:pPr>
        <w:pStyle w:val="Reading"/>
        <w:numPr>
          <w:ilvl w:val="0"/>
          <w:numId w:val="0"/>
        </w:numPr>
      </w:pPr>
      <w:r>
        <w:lastRenderedPageBreak/>
        <w:tab/>
      </w:r>
      <w:r w:rsidR="00306ECB" w:rsidRPr="00AD0051">
        <w:t xml:space="preserve">Helena </w:t>
      </w:r>
      <w:proofErr w:type="spellStart"/>
      <w:r w:rsidR="00306ECB" w:rsidRPr="00AD0051">
        <w:t>Gutteridge’s</w:t>
      </w:r>
      <w:proofErr w:type="spellEnd"/>
      <w:r w:rsidR="00306ECB" w:rsidRPr="00AD0051">
        <w:t xml:space="preserve"> biographer, Irene Howard, suggests that even given the bigoted social reality of the day, “For a woman with Helena’s strong sense of social justice and human kinship … this is a surprising statement.” (7) Seeing conflict between </w:t>
      </w:r>
      <w:proofErr w:type="gramStart"/>
      <w:r w:rsidR="00306ECB" w:rsidRPr="00AD0051">
        <w:t>support</w:t>
      </w:r>
      <w:proofErr w:type="gramEnd"/>
      <w:r w:rsidR="00306ECB" w:rsidRPr="00AD0051">
        <w:t xml:space="preserve"> for all workers, including those harmed by racism, and preferential treatment for white women workers, she chose the latter. As Howard points out, Gutteridge was first and foremost a trade unionist who adhered to an anti-Asian policy, even though socialist ideology declared “… the system (was) the enemy, not the Chinese or Sikh worker.”  (8.)</w:t>
      </w:r>
    </w:p>
    <w:p w:rsidR="00AD0051" w:rsidRPr="00AD0051" w:rsidRDefault="00AD0051" w:rsidP="00AD0051">
      <w:pPr>
        <w:pStyle w:val="Reading"/>
        <w:numPr>
          <w:ilvl w:val="0"/>
          <w:numId w:val="0"/>
        </w:numPr>
      </w:pPr>
    </w:p>
    <w:p w:rsidR="00306ECB" w:rsidRPr="00AD0051" w:rsidRDefault="00306ECB" w:rsidP="00AD0051">
      <w:pPr>
        <w:pStyle w:val="Reading"/>
      </w:pPr>
      <w:r w:rsidRPr="00AD0051">
        <w:t xml:space="preserve">Perhaps to a degree, </w:t>
      </w:r>
      <w:proofErr w:type="spellStart"/>
      <w:r w:rsidRPr="00AD0051">
        <w:t>Gutteridge’s</w:t>
      </w:r>
      <w:proofErr w:type="spellEnd"/>
      <w:r w:rsidRPr="00AD0051">
        <w:t xml:space="preserve"> work during World War Two showed some growth away from bigotry.  In the fall of 1942, just months after Canadians of Japanese background were ordered interned and their property was confiscated, she was hired to help administer the Lemon Creek relocation Project.  250 shacks were built to </w:t>
      </w:r>
      <w:proofErr w:type="gramStart"/>
      <w:r w:rsidRPr="00AD0051">
        <w:t>house ‘re</w:t>
      </w:r>
      <w:proofErr w:type="gramEnd"/>
      <w:r w:rsidRPr="00AD0051">
        <w:t xml:space="preserve">-located’ internees, away from the coast, in the forests of the </w:t>
      </w:r>
      <w:proofErr w:type="spellStart"/>
      <w:r w:rsidRPr="00AD0051">
        <w:t>Kootenays</w:t>
      </w:r>
      <w:proofErr w:type="spellEnd"/>
      <w:r w:rsidRPr="00AD0051">
        <w:t xml:space="preserve"> .  Helena Gutteridge was the Welfare Manager.   By all accounts she was competent and kindly, taking on the ‘higher ups’ to argue for improved conditions.  She was </w:t>
      </w:r>
      <w:proofErr w:type="gramStart"/>
      <w:r w:rsidRPr="00AD0051">
        <w:t>also,</w:t>
      </w:r>
      <w:proofErr w:type="gramEnd"/>
      <w:r w:rsidRPr="00AD0051">
        <w:t xml:space="preserve"> likely, disturbed by the distastefulness of counseling distressed and dislocated people under constant pressure either to move to the east or, after war’s end in 1945, to immigrate to Japan. In the early 1980s she was remembered with fondness by some of the younger internees, and one recalled that, by the spring of 1945, when Gutteridge resigned from Lemon Creek, “she’d had enough.”  (9.) Howard 239)</w:t>
      </w:r>
    </w:p>
    <w:p w:rsidR="00AD0051" w:rsidRDefault="00AD0051" w:rsidP="00AD0051">
      <w:pPr>
        <w:pStyle w:val="Reading"/>
        <w:numPr>
          <w:ilvl w:val="0"/>
          <w:numId w:val="0"/>
        </w:numPr>
      </w:pPr>
    </w:p>
    <w:p w:rsidR="00306ECB" w:rsidRPr="00AD0051" w:rsidRDefault="00AD0051" w:rsidP="00AD0051">
      <w:pPr>
        <w:pStyle w:val="Reading"/>
        <w:numPr>
          <w:ilvl w:val="0"/>
          <w:numId w:val="0"/>
        </w:numPr>
      </w:pPr>
      <w:r>
        <w:tab/>
      </w:r>
      <w:r w:rsidR="00306ECB" w:rsidRPr="00AD0051">
        <w:t xml:space="preserve">Although Helena Gutteridge was not re-elected to Vancouver’s City Council, she always demonstrated a tremendous faith in the power of women to bring about social and political change. It could hardly have been otherwise, given her personal accomplishments and her total dedication to activism.  Her views reflect her understanding that women would benefit as individuals from public life; their work would not only be for the purpose of helping others, whether in trade unions or among the unemployed and dispossessed, but also to enhance their own lives.  “Women are part of the larger community.  They owe it to themselves to develop their abilities and to work for a better peaceful world.” (10.) </w:t>
      </w:r>
      <w:proofErr w:type="gramStart"/>
      <w:r w:rsidR="00306ECB" w:rsidRPr="00AD0051">
        <w:t>she</w:t>
      </w:r>
      <w:proofErr w:type="gramEnd"/>
      <w:r w:rsidR="00306ECB" w:rsidRPr="00AD0051">
        <w:t xml:space="preserve"> said in an interview three years before her death in 1960.  Since her pioneering victory, many women have become City </w:t>
      </w:r>
      <w:r w:rsidR="00EF59CD" w:rsidRPr="00AD0051">
        <w:t>Councillors</w:t>
      </w:r>
      <w:r w:rsidR="00306ECB" w:rsidRPr="00AD0051">
        <w:t xml:space="preserve"> in Vancouver and provincial leaders of political parties, and each of them – whether she knows it or not - owes a debt to a young English woman who saw that there was, indeed, power both in a union and in uniting to promote other, related causes. </w:t>
      </w:r>
    </w:p>
    <w:p w:rsidR="00306ECB" w:rsidRPr="00AD0051" w:rsidRDefault="00306ECB" w:rsidP="00306ECB">
      <w:pPr>
        <w:rPr>
          <w:rFonts w:asciiTheme="majorHAnsi" w:hAnsiTheme="majorHAnsi"/>
          <w:b/>
          <w:sz w:val="20"/>
          <w:szCs w:val="20"/>
        </w:rPr>
      </w:pPr>
      <w:r w:rsidRPr="00AD0051">
        <w:rPr>
          <w:rFonts w:asciiTheme="majorHAnsi" w:hAnsiTheme="majorHAnsi"/>
          <w:b/>
          <w:sz w:val="20"/>
          <w:szCs w:val="20"/>
        </w:rPr>
        <w:t>Citations</w:t>
      </w:r>
    </w:p>
    <w:p w:rsidR="00306ECB" w:rsidRPr="00AD0051" w:rsidRDefault="00306ECB" w:rsidP="00AD0051">
      <w:pPr>
        <w:spacing w:after="40" w:line="240" w:lineRule="auto"/>
        <w:rPr>
          <w:rFonts w:asciiTheme="majorHAnsi" w:hAnsiTheme="majorHAnsi"/>
          <w:sz w:val="18"/>
          <w:szCs w:val="18"/>
        </w:rPr>
      </w:pPr>
      <w:r w:rsidRPr="00AD0051">
        <w:rPr>
          <w:rFonts w:asciiTheme="majorHAnsi" w:hAnsiTheme="majorHAnsi"/>
          <w:sz w:val="18"/>
          <w:szCs w:val="18"/>
        </w:rPr>
        <w:t>1. Susan Walsh, SFU MA Thesis, 1983.</w:t>
      </w:r>
    </w:p>
    <w:p w:rsidR="00306ECB" w:rsidRPr="00AD0051" w:rsidRDefault="00306ECB" w:rsidP="00AD0051">
      <w:pPr>
        <w:spacing w:after="40" w:line="240" w:lineRule="auto"/>
        <w:rPr>
          <w:rFonts w:asciiTheme="majorHAnsi" w:hAnsiTheme="majorHAnsi"/>
          <w:sz w:val="18"/>
          <w:szCs w:val="18"/>
        </w:rPr>
      </w:pPr>
      <w:r w:rsidRPr="00AD0051">
        <w:rPr>
          <w:rFonts w:asciiTheme="majorHAnsi" w:hAnsiTheme="majorHAnsi"/>
          <w:sz w:val="18"/>
          <w:szCs w:val="18"/>
        </w:rPr>
        <w:t>2. Ibid.</w:t>
      </w:r>
    </w:p>
    <w:p w:rsidR="00306ECB" w:rsidRPr="00AD0051" w:rsidRDefault="00306ECB" w:rsidP="00AD0051">
      <w:pPr>
        <w:spacing w:after="40" w:line="240" w:lineRule="auto"/>
        <w:rPr>
          <w:rFonts w:asciiTheme="majorHAnsi" w:hAnsiTheme="majorHAnsi"/>
          <w:sz w:val="18"/>
          <w:szCs w:val="18"/>
        </w:rPr>
      </w:pPr>
      <w:r w:rsidRPr="00AD0051">
        <w:rPr>
          <w:rFonts w:asciiTheme="majorHAnsi" w:hAnsiTheme="majorHAnsi"/>
          <w:sz w:val="18"/>
          <w:szCs w:val="18"/>
        </w:rPr>
        <w:t xml:space="preserve">3. Marcia </w:t>
      </w:r>
      <w:r w:rsidR="00AC6CE4" w:rsidRPr="00AD0051">
        <w:rPr>
          <w:rFonts w:asciiTheme="majorHAnsi" w:hAnsiTheme="majorHAnsi"/>
          <w:sz w:val="18"/>
          <w:szCs w:val="18"/>
        </w:rPr>
        <w:t>T</w:t>
      </w:r>
      <w:r w:rsidRPr="00AD0051">
        <w:rPr>
          <w:rFonts w:asciiTheme="majorHAnsi" w:hAnsiTheme="majorHAnsi"/>
          <w:sz w:val="18"/>
          <w:szCs w:val="18"/>
        </w:rPr>
        <w:t>oms, SFU MA Thesis, 1993.</w:t>
      </w:r>
    </w:p>
    <w:p w:rsidR="00306ECB" w:rsidRPr="00AD0051" w:rsidRDefault="00306ECB" w:rsidP="00AD0051">
      <w:pPr>
        <w:spacing w:after="40" w:line="240" w:lineRule="auto"/>
        <w:rPr>
          <w:rFonts w:asciiTheme="majorHAnsi" w:hAnsiTheme="majorHAnsi"/>
          <w:sz w:val="18"/>
          <w:szCs w:val="18"/>
        </w:rPr>
      </w:pPr>
      <w:r w:rsidRPr="00AD0051">
        <w:rPr>
          <w:rFonts w:asciiTheme="majorHAnsi" w:hAnsiTheme="majorHAnsi"/>
          <w:sz w:val="18"/>
          <w:szCs w:val="18"/>
        </w:rPr>
        <w:t>4. Walsh.</w:t>
      </w:r>
    </w:p>
    <w:p w:rsidR="00306ECB" w:rsidRPr="00AD0051" w:rsidRDefault="00306ECB" w:rsidP="00AD0051">
      <w:pPr>
        <w:spacing w:after="40"/>
        <w:rPr>
          <w:rFonts w:asciiTheme="majorHAnsi" w:hAnsiTheme="majorHAnsi"/>
          <w:sz w:val="18"/>
          <w:szCs w:val="18"/>
        </w:rPr>
      </w:pPr>
      <w:r w:rsidRPr="00AD0051">
        <w:rPr>
          <w:rFonts w:asciiTheme="majorHAnsi" w:hAnsiTheme="majorHAnsi"/>
          <w:sz w:val="18"/>
          <w:szCs w:val="18"/>
        </w:rPr>
        <w:t xml:space="preserve">5. Irene Howard, </w:t>
      </w:r>
      <w:r w:rsidRPr="00AD0051">
        <w:rPr>
          <w:rFonts w:asciiTheme="majorHAnsi" w:hAnsiTheme="majorHAnsi"/>
          <w:sz w:val="18"/>
          <w:szCs w:val="18"/>
          <w:u w:val="single"/>
        </w:rPr>
        <w:t>Helena Gutteridge, The unknown reformer</w:t>
      </w:r>
      <w:r w:rsidRPr="00AD0051">
        <w:rPr>
          <w:rFonts w:asciiTheme="majorHAnsi" w:hAnsiTheme="majorHAnsi"/>
          <w:sz w:val="18"/>
          <w:szCs w:val="18"/>
        </w:rPr>
        <w:t>. 1992.</w:t>
      </w:r>
    </w:p>
    <w:p w:rsidR="00306ECB" w:rsidRPr="00AD0051" w:rsidRDefault="00306ECB" w:rsidP="00AD0051">
      <w:pPr>
        <w:spacing w:after="40"/>
        <w:rPr>
          <w:rFonts w:asciiTheme="majorHAnsi" w:hAnsiTheme="majorHAnsi"/>
          <w:sz w:val="18"/>
          <w:szCs w:val="18"/>
        </w:rPr>
      </w:pPr>
      <w:r w:rsidRPr="00AD0051">
        <w:rPr>
          <w:rFonts w:asciiTheme="majorHAnsi" w:hAnsiTheme="majorHAnsi"/>
          <w:sz w:val="18"/>
          <w:szCs w:val="18"/>
        </w:rPr>
        <w:t>6. Ibid.</w:t>
      </w:r>
    </w:p>
    <w:p w:rsidR="00306ECB" w:rsidRPr="00AD0051" w:rsidRDefault="00306ECB" w:rsidP="00AD0051">
      <w:pPr>
        <w:spacing w:after="40"/>
        <w:rPr>
          <w:rFonts w:asciiTheme="majorHAnsi" w:hAnsiTheme="majorHAnsi"/>
          <w:sz w:val="18"/>
          <w:szCs w:val="18"/>
        </w:rPr>
      </w:pPr>
      <w:r w:rsidRPr="00AD0051">
        <w:rPr>
          <w:rFonts w:asciiTheme="majorHAnsi" w:hAnsiTheme="majorHAnsi"/>
          <w:sz w:val="18"/>
          <w:szCs w:val="18"/>
        </w:rPr>
        <w:t>7. Ibid.</w:t>
      </w:r>
    </w:p>
    <w:p w:rsidR="00306ECB" w:rsidRPr="00AD0051" w:rsidRDefault="00306ECB" w:rsidP="00AD0051">
      <w:pPr>
        <w:spacing w:after="40"/>
        <w:rPr>
          <w:rFonts w:asciiTheme="majorHAnsi" w:hAnsiTheme="majorHAnsi"/>
          <w:sz w:val="18"/>
          <w:szCs w:val="18"/>
        </w:rPr>
      </w:pPr>
      <w:r w:rsidRPr="00AD0051">
        <w:rPr>
          <w:rFonts w:asciiTheme="majorHAnsi" w:hAnsiTheme="majorHAnsi"/>
          <w:sz w:val="18"/>
          <w:szCs w:val="18"/>
        </w:rPr>
        <w:t>8. Ibid.</w:t>
      </w:r>
    </w:p>
    <w:p w:rsidR="00306ECB" w:rsidRPr="00AD0051" w:rsidRDefault="00306ECB" w:rsidP="00AD0051">
      <w:pPr>
        <w:spacing w:after="40"/>
        <w:rPr>
          <w:rFonts w:asciiTheme="majorHAnsi" w:hAnsiTheme="majorHAnsi"/>
          <w:sz w:val="18"/>
          <w:szCs w:val="18"/>
        </w:rPr>
      </w:pPr>
      <w:r w:rsidRPr="00AD0051">
        <w:rPr>
          <w:rFonts w:asciiTheme="majorHAnsi" w:hAnsiTheme="majorHAnsi"/>
          <w:sz w:val="18"/>
          <w:szCs w:val="18"/>
        </w:rPr>
        <w:t>9. Howard, 239.</w:t>
      </w:r>
    </w:p>
    <w:p w:rsidR="00306ECB" w:rsidRPr="00AD0051" w:rsidRDefault="00306ECB" w:rsidP="00AD0051">
      <w:pPr>
        <w:spacing w:after="40"/>
        <w:rPr>
          <w:rFonts w:asciiTheme="majorHAnsi" w:hAnsiTheme="majorHAnsi"/>
          <w:sz w:val="18"/>
          <w:szCs w:val="18"/>
        </w:rPr>
      </w:pPr>
      <w:r w:rsidRPr="00AD0051">
        <w:rPr>
          <w:rFonts w:asciiTheme="majorHAnsi" w:hAnsiTheme="majorHAnsi"/>
          <w:sz w:val="18"/>
          <w:szCs w:val="18"/>
        </w:rPr>
        <w:t>10. Pacific Tribune, March 8</w:t>
      </w:r>
      <w:r w:rsidRPr="00AD0051">
        <w:rPr>
          <w:rFonts w:asciiTheme="majorHAnsi" w:hAnsiTheme="majorHAnsi"/>
          <w:sz w:val="18"/>
          <w:szCs w:val="18"/>
          <w:vertAlign w:val="superscript"/>
        </w:rPr>
        <w:t>th</w:t>
      </w:r>
      <w:r w:rsidRPr="00AD0051">
        <w:rPr>
          <w:rFonts w:asciiTheme="majorHAnsi" w:hAnsiTheme="majorHAnsi"/>
          <w:sz w:val="18"/>
          <w:szCs w:val="18"/>
        </w:rPr>
        <w:t xml:space="preserve"> 1957.</w:t>
      </w:r>
    </w:p>
    <w:p w:rsidR="00AC6CE4" w:rsidRPr="00AC6CE4" w:rsidRDefault="00AC6CE4" w:rsidP="00AC6CE4">
      <w:pPr>
        <w:spacing w:after="160"/>
        <w:rPr>
          <w:rFonts w:asciiTheme="majorHAnsi" w:hAnsiTheme="majorHAnsi"/>
          <w:b/>
          <w:sz w:val="28"/>
          <w:szCs w:val="28"/>
        </w:rPr>
      </w:pPr>
      <w:r w:rsidRPr="00AC6CE4">
        <w:rPr>
          <w:rFonts w:asciiTheme="majorHAnsi" w:hAnsiTheme="majorHAnsi"/>
          <w:b/>
          <w:sz w:val="28"/>
          <w:szCs w:val="28"/>
        </w:rPr>
        <w:lastRenderedPageBreak/>
        <w:t xml:space="preserve">Optional Role Play Activity </w:t>
      </w:r>
    </w:p>
    <w:p w:rsidR="00AC6CE4" w:rsidRPr="00AC6CE4" w:rsidRDefault="00AC6CE4" w:rsidP="00AC6CE4">
      <w:pPr>
        <w:rPr>
          <w:rFonts w:asciiTheme="majorHAnsi" w:hAnsiTheme="majorHAnsi"/>
          <w:sz w:val="24"/>
          <w:szCs w:val="24"/>
        </w:rPr>
      </w:pPr>
      <w:r w:rsidRPr="00AC6CE4">
        <w:rPr>
          <w:rFonts w:asciiTheme="majorHAnsi" w:hAnsiTheme="majorHAnsi"/>
          <w:sz w:val="24"/>
          <w:szCs w:val="24"/>
        </w:rPr>
        <w:t xml:space="preserve">Students will work in pairs in this </w:t>
      </w:r>
      <w:r w:rsidR="00EF59CD" w:rsidRPr="00AC6CE4">
        <w:rPr>
          <w:rFonts w:asciiTheme="majorHAnsi" w:hAnsiTheme="majorHAnsi"/>
          <w:sz w:val="24"/>
          <w:szCs w:val="24"/>
        </w:rPr>
        <w:t>activity</w:t>
      </w:r>
      <w:r w:rsidRPr="00AC6CE4">
        <w:rPr>
          <w:rFonts w:asciiTheme="majorHAnsi" w:hAnsiTheme="majorHAnsi"/>
          <w:sz w:val="24"/>
          <w:szCs w:val="24"/>
        </w:rPr>
        <w:t xml:space="preserve">.  Having read the article, students will alternately assume the role of </w:t>
      </w:r>
    </w:p>
    <w:p w:rsidR="00AC6CE4" w:rsidRPr="00AC6CE4" w:rsidRDefault="00AC6CE4" w:rsidP="00AC6CE4">
      <w:pPr>
        <w:pStyle w:val="ListParagraph"/>
        <w:numPr>
          <w:ilvl w:val="0"/>
          <w:numId w:val="3"/>
        </w:numPr>
        <w:rPr>
          <w:rFonts w:asciiTheme="majorHAnsi" w:hAnsiTheme="majorHAnsi"/>
          <w:sz w:val="24"/>
          <w:szCs w:val="24"/>
        </w:rPr>
      </w:pPr>
      <w:r w:rsidRPr="00AC6CE4">
        <w:rPr>
          <w:rFonts w:asciiTheme="majorHAnsi" w:hAnsiTheme="majorHAnsi"/>
          <w:sz w:val="24"/>
          <w:szCs w:val="24"/>
        </w:rPr>
        <w:t xml:space="preserve">An interviewing reporter </w:t>
      </w:r>
    </w:p>
    <w:p w:rsidR="00AC6CE4" w:rsidRPr="00AC6CE4" w:rsidRDefault="00AC6CE4" w:rsidP="00AC6CE4">
      <w:pPr>
        <w:pStyle w:val="ListParagraph"/>
        <w:rPr>
          <w:rFonts w:asciiTheme="majorHAnsi" w:hAnsiTheme="majorHAnsi"/>
          <w:sz w:val="24"/>
          <w:szCs w:val="24"/>
        </w:rPr>
      </w:pPr>
      <w:r w:rsidRPr="00AC6CE4">
        <w:rPr>
          <w:rFonts w:asciiTheme="majorHAnsi" w:hAnsiTheme="majorHAnsi"/>
          <w:sz w:val="24"/>
          <w:szCs w:val="24"/>
        </w:rPr>
        <w:t xml:space="preserve"> </w:t>
      </w:r>
      <w:proofErr w:type="gramStart"/>
      <w:r w:rsidRPr="00AC6CE4">
        <w:rPr>
          <w:rFonts w:asciiTheme="majorHAnsi" w:hAnsiTheme="majorHAnsi"/>
          <w:sz w:val="24"/>
          <w:szCs w:val="24"/>
        </w:rPr>
        <w:t>or</w:t>
      </w:r>
      <w:proofErr w:type="gramEnd"/>
    </w:p>
    <w:p w:rsidR="00AC6CE4" w:rsidRPr="00AC6CE4" w:rsidRDefault="00AC6CE4" w:rsidP="00AC6CE4">
      <w:pPr>
        <w:pStyle w:val="ListParagraph"/>
        <w:numPr>
          <w:ilvl w:val="0"/>
          <w:numId w:val="3"/>
        </w:numPr>
        <w:rPr>
          <w:rFonts w:asciiTheme="majorHAnsi" w:hAnsiTheme="majorHAnsi"/>
          <w:sz w:val="24"/>
          <w:szCs w:val="24"/>
        </w:rPr>
      </w:pPr>
      <w:r w:rsidRPr="00AC6CE4">
        <w:rPr>
          <w:rFonts w:asciiTheme="majorHAnsi" w:hAnsiTheme="majorHAnsi"/>
          <w:sz w:val="24"/>
          <w:szCs w:val="24"/>
        </w:rPr>
        <w:t xml:space="preserve">The “Outspoken lady politician </w:t>
      </w:r>
      <w:r>
        <w:rPr>
          <w:rFonts w:asciiTheme="majorHAnsi" w:hAnsiTheme="majorHAnsi"/>
          <w:sz w:val="24"/>
          <w:szCs w:val="24"/>
        </w:rPr>
        <w:t>and no-nonsense unionist, Helen</w:t>
      </w:r>
      <w:r w:rsidR="00630BE1">
        <w:rPr>
          <w:rFonts w:asciiTheme="majorHAnsi" w:hAnsiTheme="majorHAnsi"/>
          <w:sz w:val="24"/>
          <w:szCs w:val="24"/>
        </w:rPr>
        <w:t>a</w:t>
      </w:r>
      <w:r w:rsidRPr="00AC6CE4">
        <w:rPr>
          <w:rFonts w:asciiTheme="majorHAnsi" w:hAnsiTheme="majorHAnsi"/>
          <w:sz w:val="24"/>
          <w:szCs w:val="24"/>
        </w:rPr>
        <w:t xml:space="preserve"> Gutteridge.” </w:t>
      </w:r>
    </w:p>
    <w:p w:rsidR="00AC6CE4" w:rsidRPr="00AC6CE4" w:rsidRDefault="00AC6CE4" w:rsidP="00AC6CE4">
      <w:pPr>
        <w:rPr>
          <w:rFonts w:asciiTheme="majorHAnsi" w:hAnsiTheme="majorHAnsi"/>
          <w:sz w:val="24"/>
          <w:szCs w:val="24"/>
        </w:rPr>
      </w:pPr>
      <w:r w:rsidRPr="00AC6CE4">
        <w:rPr>
          <w:rFonts w:asciiTheme="majorHAnsi" w:hAnsiTheme="majorHAnsi"/>
          <w:sz w:val="24"/>
          <w:szCs w:val="24"/>
        </w:rPr>
        <w:t xml:space="preserve">First, have students work together to compile a list of questions (say 10, with specific instructions to use Why? How? Describe, </w:t>
      </w:r>
      <w:proofErr w:type="gramStart"/>
      <w:r w:rsidRPr="00AC6CE4">
        <w:rPr>
          <w:rFonts w:asciiTheme="majorHAnsi" w:hAnsiTheme="majorHAnsi"/>
          <w:sz w:val="24"/>
          <w:szCs w:val="24"/>
        </w:rPr>
        <w:t>For</w:t>
      </w:r>
      <w:proofErr w:type="gramEnd"/>
      <w:r w:rsidRPr="00AC6CE4">
        <w:rPr>
          <w:rFonts w:asciiTheme="majorHAnsi" w:hAnsiTheme="majorHAnsi"/>
          <w:sz w:val="24"/>
          <w:szCs w:val="24"/>
        </w:rPr>
        <w:t xml:space="preserve"> what reasons? </w:t>
      </w:r>
      <w:r w:rsidR="00EF59CD">
        <w:rPr>
          <w:rFonts w:asciiTheme="majorHAnsi" w:hAnsiTheme="majorHAnsi"/>
          <w:sz w:val="24"/>
          <w:szCs w:val="24"/>
        </w:rPr>
        <w:t xml:space="preserve"> </w:t>
      </w:r>
      <w:proofErr w:type="gramStart"/>
      <w:r w:rsidRPr="00AC6CE4">
        <w:rPr>
          <w:rFonts w:asciiTheme="majorHAnsi" w:hAnsiTheme="majorHAnsi"/>
          <w:sz w:val="24"/>
          <w:szCs w:val="24"/>
        </w:rPr>
        <w:t>as</w:t>
      </w:r>
      <w:proofErr w:type="gramEnd"/>
      <w:r w:rsidRPr="00AC6CE4">
        <w:rPr>
          <w:rFonts w:asciiTheme="majorHAnsi" w:hAnsiTheme="majorHAnsi"/>
          <w:sz w:val="24"/>
          <w:szCs w:val="24"/>
        </w:rPr>
        <w:t xml:space="preserve"> prompts) for an article </w:t>
      </w:r>
      <w:r>
        <w:rPr>
          <w:rFonts w:asciiTheme="majorHAnsi" w:hAnsiTheme="majorHAnsi"/>
          <w:sz w:val="24"/>
          <w:szCs w:val="24"/>
        </w:rPr>
        <w:t xml:space="preserve">to suit the given </w:t>
      </w:r>
      <w:r w:rsidRPr="00AC6CE4">
        <w:rPr>
          <w:rFonts w:asciiTheme="majorHAnsi" w:hAnsiTheme="majorHAnsi"/>
          <w:sz w:val="24"/>
          <w:szCs w:val="24"/>
        </w:rPr>
        <w:t xml:space="preserve">title </w:t>
      </w:r>
      <w:r>
        <w:rPr>
          <w:rFonts w:asciiTheme="majorHAnsi" w:hAnsiTheme="majorHAnsi"/>
          <w:sz w:val="24"/>
          <w:szCs w:val="24"/>
        </w:rPr>
        <w:t>for Helen</w:t>
      </w:r>
      <w:r w:rsidR="00630BE1">
        <w:rPr>
          <w:rFonts w:asciiTheme="majorHAnsi" w:hAnsiTheme="majorHAnsi"/>
          <w:sz w:val="24"/>
          <w:szCs w:val="24"/>
        </w:rPr>
        <w:t>a</w:t>
      </w:r>
      <w:r>
        <w:rPr>
          <w:rFonts w:asciiTheme="majorHAnsi" w:hAnsiTheme="majorHAnsi"/>
          <w:sz w:val="24"/>
          <w:szCs w:val="24"/>
        </w:rPr>
        <w:t xml:space="preserve"> </w:t>
      </w:r>
      <w:r w:rsidRPr="00AC6CE4">
        <w:rPr>
          <w:rFonts w:asciiTheme="majorHAnsi" w:hAnsiTheme="majorHAnsi"/>
          <w:sz w:val="24"/>
          <w:szCs w:val="24"/>
        </w:rPr>
        <w:t>and then alternate so student reporters interview each other.  Then, each student will write an article based on their notes.  Consider posting the articles on your school website or a blog.</w:t>
      </w:r>
    </w:p>
    <w:p w:rsidR="00AC6CE4" w:rsidRPr="00AC6CE4" w:rsidRDefault="00AC6CE4" w:rsidP="00AC6CE4">
      <w:pPr>
        <w:rPr>
          <w:rFonts w:asciiTheme="majorHAnsi" w:hAnsiTheme="majorHAnsi"/>
        </w:rPr>
      </w:pPr>
      <w:r w:rsidRPr="00AC6CE4">
        <w:rPr>
          <w:rFonts w:asciiTheme="majorHAnsi" w:hAnsiTheme="majorHAnsi"/>
        </w:rPr>
        <w:t xml:space="preserve"> </w:t>
      </w:r>
    </w:p>
    <w:p w:rsidR="00AC6CE4" w:rsidRPr="00AC6CE4" w:rsidRDefault="00AC6CE4" w:rsidP="00AC6CE4">
      <w:pPr>
        <w:spacing w:after="160"/>
        <w:rPr>
          <w:rFonts w:asciiTheme="majorHAnsi" w:hAnsiTheme="majorHAnsi"/>
          <w:sz w:val="20"/>
          <w:szCs w:val="20"/>
        </w:rPr>
      </w:pPr>
    </w:p>
    <w:sectPr w:rsidR="00AC6CE4" w:rsidRPr="00AC6CE4"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158D" w:rsidRDefault="000F158D" w:rsidP="005A3381">
      <w:pPr>
        <w:spacing w:after="0" w:line="240" w:lineRule="auto"/>
      </w:pPr>
      <w:r>
        <w:separator/>
      </w:r>
    </w:p>
  </w:endnote>
  <w:endnote w:type="continuationSeparator" w:id="0">
    <w:p w:rsidR="000F158D" w:rsidRDefault="000F158D" w:rsidP="005A3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fldSimple w:instr=" PAGE   \* MERGEFORMAT ">
      <w:r w:rsidR="00EF59CD" w:rsidRPr="00EF59CD">
        <w:rPr>
          <w:rFonts w:asciiTheme="majorHAnsi" w:hAnsiTheme="majorHAnsi"/>
          <w:noProof/>
        </w:rPr>
        <w:t>1</w:t>
      </w:r>
    </w:fldSimple>
  </w:p>
  <w:p w:rsidR="005A3381" w:rsidRDefault="005A33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158D" w:rsidRDefault="000F158D" w:rsidP="005A3381">
      <w:pPr>
        <w:spacing w:after="0" w:line="240" w:lineRule="auto"/>
      </w:pPr>
      <w:r>
        <w:separator/>
      </w:r>
    </w:p>
  </w:footnote>
  <w:footnote w:type="continuationSeparator" w:id="0">
    <w:p w:rsidR="000F158D" w:rsidRDefault="000F158D" w:rsidP="005A33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882B3B5F9D574FE6A020A1077D8CC1EF"/>
      </w:placeholder>
      <w:dataBinding w:prefixMappings="xmlns:ns0='http://schemas.openxmlformats.org/package/2006/metadata/core-properties' xmlns:ns1='http://purl.org/dc/elements/1.1/'" w:xpath="/ns0:coreProperties[1]/ns1:title[1]" w:storeItemID="{6C3C8BC8-F283-45AE-878A-BAB7291924A1}"/>
      <w:text/>
    </w:sdtPr>
    <w:sdtContent>
      <w:p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rsidR="005A3381" w:rsidRDefault="005A33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9409B"/>
    <w:multiLevelType w:val="hybridMultilevel"/>
    <w:tmpl w:val="AFE8C668"/>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DA22B4B"/>
    <w:multiLevelType w:val="hybridMultilevel"/>
    <w:tmpl w:val="CD0CE9F2"/>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0F6F42C4"/>
    <w:multiLevelType w:val="hybridMultilevel"/>
    <w:tmpl w:val="2DE4DAF4"/>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267F05EF"/>
    <w:multiLevelType w:val="hybridMultilevel"/>
    <w:tmpl w:val="525C035E"/>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2F9826E3"/>
    <w:multiLevelType w:val="hybridMultilevel"/>
    <w:tmpl w:val="E24AB798"/>
    <w:lvl w:ilvl="0" w:tplc="C2BE6BD0">
      <w:start w:val="1"/>
      <w:numFmt w:val="upperLetter"/>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lang/>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31C8044A"/>
    <w:multiLevelType w:val="hybridMultilevel"/>
    <w:tmpl w:val="83106A40"/>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nsid w:val="48856C00"/>
    <w:multiLevelType w:val="hybridMultilevel"/>
    <w:tmpl w:val="666A48EA"/>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5CE051C0"/>
    <w:multiLevelType w:val="hybridMultilevel"/>
    <w:tmpl w:val="E44E22D0"/>
    <w:lvl w:ilvl="0" w:tplc="D25CA408">
      <w:start w:val="1"/>
      <w:numFmt w:val="upperLetter"/>
      <w:pStyle w:val="Reading"/>
      <w:lvlText w:val="%1."/>
      <w:lvlJc w:val="left"/>
      <w:pPr>
        <w:ind w:left="360" w:hanging="360"/>
      </w:pPr>
      <w:rPr>
        <w:rFonts w:hint="default"/>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abstractNumId w:val="6"/>
  </w:num>
  <w:num w:numId="2">
    <w:abstractNumId w:val="8"/>
  </w:num>
  <w:num w:numId="3">
    <w:abstractNumId w:val="3"/>
  </w:num>
  <w:num w:numId="4">
    <w:abstractNumId w:val="7"/>
  </w:num>
  <w:num w:numId="5">
    <w:abstractNumId w:val="1"/>
  </w:num>
  <w:num w:numId="6">
    <w:abstractNumId w:val="0"/>
  </w:num>
  <w:num w:numId="7">
    <w:abstractNumId w:val="4"/>
  </w:num>
  <w:num w:numId="8">
    <w:abstractNumId w:val="2"/>
  </w:num>
  <w:num w:numId="9">
    <w:abstractNumId w:val="5"/>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86B2F"/>
    <w:rsid w:val="000459C6"/>
    <w:rsid w:val="0006543A"/>
    <w:rsid w:val="000F158D"/>
    <w:rsid w:val="00123122"/>
    <w:rsid w:val="00247254"/>
    <w:rsid w:val="00306ECB"/>
    <w:rsid w:val="0034199A"/>
    <w:rsid w:val="004F34F3"/>
    <w:rsid w:val="005A3381"/>
    <w:rsid w:val="005E3009"/>
    <w:rsid w:val="00630BE1"/>
    <w:rsid w:val="006F52DA"/>
    <w:rsid w:val="007E7322"/>
    <w:rsid w:val="0086484F"/>
    <w:rsid w:val="00892ADA"/>
    <w:rsid w:val="00A069E9"/>
    <w:rsid w:val="00AC6CE4"/>
    <w:rsid w:val="00AD0051"/>
    <w:rsid w:val="00B03414"/>
    <w:rsid w:val="00B76EBF"/>
    <w:rsid w:val="00BB4AB1"/>
    <w:rsid w:val="00C50137"/>
    <w:rsid w:val="00DB5E1D"/>
    <w:rsid w:val="00DD3CA0"/>
    <w:rsid w:val="00E86B2F"/>
    <w:rsid w:val="00EC2417"/>
    <w:rsid w:val="00EF59CD"/>
    <w:rsid w:val="00F8295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0">
    <w:name w:val="normal"/>
    <w:rsid w:val="0086484F"/>
    <w:pPr>
      <w:widowControl w:val="0"/>
    </w:pPr>
    <w:rPr>
      <w:rFonts w:ascii="Calibri" w:eastAsia="Calibri" w:hAnsi="Calibri" w:cs="Calibri"/>
      <w:color w:val="000000"/>
      <w:lang w:eastAsia="en-CA"/>
    </w:rPr>
  </w:style>
  <w:style w:type="paragraph" w:styleId="ListParagraph">
    <w:name w:val="List Paragraph"/>
    <w:basedOn w:val="Normal"/>
    <w:uiPriority w:val="34"/>
    <w:qFormat/>
    <w:rsid w:val="00AC6CE4"/>
    <w:pPr>
      <w:ind w:left="720"/>
      <w:contextualSpacing/>
    </w:pPr>
  </w:style>
  <w:style w:type="paragraph" w:customStyle="1" w:styleId="Reading">
    <w:name w:val="Reading"/>
    <w:basedOn w:val="ListParagraph"/>
    <w:qFormat/>
    <w:rsid w:val="00AD0051"/>
    <w:pPr>
      <w:numPr>
        <w:numId w:val="10"/>
      </w:numPr>
      <w:tabs>
        <w:tab w:val="left" w:pos="360"/>
      </w:tabs>
      <w:ind w:left="0" w:firstLine="0"/>
    </w:pPr>
    <w:rPr>
      <w:rFonts w:asciiTheme="majorHAnsi" w:hAnsiTheme="majorHAns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82B3B5F9D574FE6A020A1077D8CC1EF"/>
        <w:category>
          <w:name w:val="General"/>
          <w:gallery w:val="placeholder"/>
        </w:category>
        <w:types>
          <w:type w:val="bbPlcHdr"/>
        </w:types>
        <w:behaviors>
          <w:behavior w:val="content"/>
        </w:behaviors>
        <w:guid w:val="{B24814D6-71AA-44DD-BB67-FA7040412083}"/>
      </w:docPartPr>
      <w:docPartBody>
        <w:p w:rsidR="007875BD" w:rsidRDefault="00B727A2">
          <w:pPr>
            <w:pStyle w:val="882B3B5F9D574FE6A020A1077D8CC1E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727A2"/>
    <w:rsid w:val="00031195"/>
    <w:rsid w:val="00527729"/>
    <w:rsid w:val="007875BD"/>
    <w:rsid w:val="00B727A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5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82B3B5F9D574FE6A020A1077D8CC1EF">
    <w:name w:val="882B3B5F9D574FE6A020A1077D8CC1EF"/>
    <w:rsid w:val="007875B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1523</Words>
  <Characters>8685</Characters>
  <Application>Microsoft Office Word</Application>
  <DocSecurity>0</DocSecurity>
  <Lines>72</Lines>
  <Paragraphs>20</Paragraphs>
  <ScaleCrop>false</ScaleCrop>
  <Company/>
  <LinksUpToDate>false</LinksUpToDate>
  <CharactersWithSpaces>10188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cp:lastModifiedBy>
  <cp:revision>5</cp:revision>
  <cp:lastPrinted>2014-08-09T22:32:00Z</cp:lastPrinted>
  <dcterms:created xsi:type="dcterms:W3CDTF">2015-09-28T20:49:00Z</dcterms:created>
  <dcterms:modified xsi:type="dcterms:W3CDTF">2015-09-28T23:12:00Z</dcterms:modified>
</cp:coreProperties>
</file>