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220914" w14:textId="64271091" w:rsidR="00F86A15" w:rsidRDefault="00F86A15" w:rsidP="00F86A15">
      <w:pPr>
        <w:spacing w:after="0" w:line="240" w:lineRule="auto"/>
        <w:rPr>
          <w:rFonts w:asciiTheme="majorHAnsi" w:eastAsia="MS Mincho" w:hAnsiTheme="majorHAnsi"/>
          <w:b/>
          <w:bCs/>
          <w:iCs/>
          <w:sz w:val="28"/>
          <w:szCs w:val="28"/>
          <w:lang w:bidi="en-US"/>
        </w:rPr>
      </w:pPr>
      <w:r w:rsidRPr="00F86A15">
        <w:rPr>
          <w:rFonts w:asciiTheme="majorHAnsi" w:eastAsia="MS Mincho" w:hAnsiTheme="majorHAnsi"/>
          <w:b/>
          <w:bCs/>
          <w:iCs/>
          <w:sz w:val="28"/>
          <w:szCs w:val="28"/>
          <w:lang w:bidi="en-US"/>
        </w:rPr>
        <w:t xml:space="preserve">Annexe </w:t>
      </w:r>
      <w:r w:rsidR="00522459" w:rsidRPr="00F86A15">
        <w:rPr>
          <w:rFonts w:asciiTheme="majorHAnsi" w:eastAsia="MS Mincho" w:hAnsiTheme="majorHAnsi"/>
          <w:b/>
          <w:bCs/>
          <w:iCs/>
          <w:sz w:val="28"/>
          <w:szCs w:val="28"/>
          <w:lang w:bidi="en-US"/>
        </w:rPr>
        <w:t>B:</w:t>
      </w:r>
      <w:r w:rsidRPr="00F86A15">
        <w:rPr>
          <w:rFonts w:asciiTheme="majorHAnsi" w:eastAsia="MS Mincho" w:hAnsiTheme="majorHAnsi"/>
          <w:b/>
          <w:bCs/>
          <w:iCs/>
          <w:sz w:val="28"/>
          <w:szCs w:val="28"/>
          <w:lang w:bidi="en-US"/>
        </w:rPr>
        <w:t xml:space="preserve"> Les </w:t>
      </w:r>
      <w:proofErr w:type="spellStart"/>
      <w:r w:rsidRPr="00F86A15">
        <w:rPr>
          <w:rFonts w:asciiTheme="majorHAnsi" w:eastAsia="MS Mincho" w:hAnsiTheme="majorHAnsi"/>
          <w:b/>
          <w:bCs/>
          <w:iCs/>
          <w:sz w:val="28"/>
          <w:szCs w:val="28"/>
          <w:lang w:bidi="en-US"/>
        </w:rPr>
        <w:t>Européens</w:t>
      </w:r>
      <w:proofErr w:type="spellEnd"/>
    </w:p>
    <w:p w14:paraId="59308936" w14:textId="360CB75B" w:rsidR="00F86A15" w:rsidRDefault="00F86A15" w:rsidP="00F86A15">
      <w:pPr>
        <w:spacing w:after="0" w:line="240" w:lineRule="auto"/>
        <w:rPr>
          <w:rFonts w:asciiTheme="majorHAnsi" w:eastAsia="MS Mincho" w:hAnsiTheme="majorHAnsi"/>
          <w:b/>
          <w:bCs/>
          <w:iCs/>
          <w:sz w:val="28"/>
          <w:szCs w:val="28"/>
          <w:lang w:bidi="en-US"/>
        </w:rPr>
      </w:pPr>
    </w:p>
    <w:p w14:paraId="3E1C266D" w14:textId="77777777" w:rsidR="00F86A15" w:rsidRPr="009F6B26" w:rsidRDefault="00F86A15" w:rsidP="009F6B26">
      <w:pPr>
        <w:pStyle w:val="Body"/>
        <w:rPr>
          <w:rFonts w:asciiTheme="majorHAnsi" w:hAnsiTheme="majorHAnsi"/>
          <w:b/>
          <w:bCs/>
          <w:sz w:val="28"/>
          <w:szCs w:val="28"/>
          <w:lang w:val="fr-CA"/>
        </w:rPr>
      </w:pPr>
      <w:r w:rsidRPr="009F6B26">
        <w:rPr>
          <w:rFonts w:asciiTheme="majorHAnsi" w:hAnsiTheme="majorHAnsi"/>
          <w:b/>
          <w:bCs/>
          <w:sz w:val="28"/>
          <w:szCs w:val="28"/>
          <w:lang w:val="fr-CA"/>
        </w:rPr>
        <w:t xml:space="preserve">L’élève européen(ne) lit le rouleau A : </w:t>
      </w:r>
      <w:r w:rsidRPr="009F6B26">
        <w:rPr>
          <w:rFonts w:asciiTheme="majorHAnsi" w:hAnsiTheme="majorHAnsi"/>
          <w:sz w:val="28"/>
          <w:szCs w:val="28"/>
          <w:lang w:val="fr-CA"/>
        </w:rPr>
        <w:t>Dans la Proclamation Royale de 1763, le roi George III a dit que les Autochtones étaient propriétaires de leurs terres. Le roi a dit que la seule manière légale de prendre contrôle de ces terres était de signer des traités entre les deux nations. L’année 2013 a marqué le 250</w:t>
      </w:r>
      <w:r w:rsidRPr="009F6B26">
        <w:rPr>
          <w:rFonts w:asciiTheme="majorHAnsi" w:hAnsiTheme="majorHAnsi"/>
          <w:sz w:val="28"/>
          <w:szCs w:val="28"/>
          <w:vertAlign w:val="superscript"/>
          <w:lang w:val="fr-CA"/>
        </w:rPr>
        <w:t>e</w:t>
      </w:r>
      <w:r w:rsidRPr="009F6B26">
        <w:rPr>
          <w:rFonts w:asciiTheme="majorHAnsi" w:hAnsiTheme="majorHAnsi"/>
          <w:sz w:val="28"/>
          <w:szCs w:val="28"/>
          <w:lang w:val="fr-CA"/>
        </w:rPr>
        <w:t xml:space="preserve"> anniversaire de la Proclamation Royale.</w:t>
      </w:r>
    </w:p>
    <w:p w14:paraId="7996D968" w14:textId="77777777" w:rsidR="009F6B26" w:rsidRDefault="009F6B26" w:rsidP="009F6B26">
      <w:pPr>
        <w:pStyle w:val="Body"/>
        <w:rPr>
          <w:rFonts w:asciiTheme="majorHAnsi" w:hAnsiTheme="majorHAnsi"/>
          <w:b/>
          <w:bCs/>
          <w:sz w:val="28"/>
          <w:szCs w:val="28"/>
          <w:lang w:val="fr-CA"/>
        </w:rPr>
      </w:pPr>
    </w:p>
    <w:p w14:paraId="1311EB87" w14:textId="1EF00905" w:rsidR="00F86A15" w:rsidRPr="009F6B26" w:rsidRDefault="00F86A15" w:rsidP="009F6B26">
      <w:pPr>
        <w:pStyle w:val="Body"/>
        <w:rPr>
          <w:rFonts w:asciiTheme="majorHAnsi" w:hAnsiTheme="majorHAnsi"/>
          <w:b/>
          <w:bCs/>
          <w:sz w:val="28"/>
          <w:szCs w:val="28"/>
          <w:lang w:val="fr-CA"/>
        </w:rPr>
      </w:pPr>
      <w:r w:rsidRPr="009F6B26">
        <w:rPr>
          <w:rFonts w:asciiTheme="majorHAnsi" w:hAnsiTheme="majorHAnsi"/>
          <w:b/>
          <w:bCs/>
          <w:sz w:val="28"/>
          <w:szCs w:val="28"/>
          <w:lang w:val="fr-CA"/>
        </w:rPr>
        <w:t xml:space="preserve">L’élève européen(ne) lit le rouleau B : </w:t>
      </w:r>
      <w:r w:rsidRPr="009F6B26">
        <w:rPr>
          <w:rFonts w:asciiTheme="majorHAnsi" w:hAnsiTheme="majorHAnsi"/>
          <w:sz w:val="28"/>
          <w:szCs w:val="28"/>
          <w:lang w:val="fr-CA"/>
        </w:rPr>
        <w:t>Ce texte a été écrit par un Européen, il y a longtemps, dans un journal d’un poste de traite de fourrure en Colombie-Britannique : « Le peu de mains disponibles à ce poste à Fort St. James sont insuffisantes pour les tâches de l’automne 1853, et sans l’assistance des Indiens, nous ne pourrions pas parvenir à finir le travail. »</w:t>
      </w:r>
    </w:p>
    <w:p w14:paraId="6FC2726E" w14:textId="77777777" w:rsidR="009F6B26" w:rsidRDefault="009F6B26" w:rsidP="009F6B26">
      <w:pPr>
        <w:pStyle w:val="Body"/>
        <w:rPr>
          <w:rFonts w:asciiTheme="majorHAnsi" w:hAnsiTheme="majorHAnsi"/>
          <w:b/>
          <w:sz w:val="28"/>
          <w:szCs w:val="28"/>
          <w:lang w:val="fr-CA"/>
        </w:rPr>
      </w:pPr>
    </w:p>
    <w:p w14:paraId="08BD7983" w14:textId="2B1F6DC2" w:rsidR="00F86A15" w:rsidRPr="009F6B26" w:rsidRDefault="00F86A15" w:rsidP="009F6B26">
      <w:pPr>
        <w:pStyle w:val="Body"/>
        <w:rPr>
          <w:rFonts w:asciiTheme="majorHAnsi" w:hAnsiTheme="majorHAnsi"/>
          <w:sz w:val="28"/>
          <w:szCs w:val="28"/>
          <w:lang w:val="fr-CA"/>
        </w:rPr>
      </w:pPr>
      <w:r w:rsidRPr="009F6B26">
        <w:rPr>
          <w:rFonts w:asciiTheme="majorHAnsi" w:hAnsiTheme="majorHAnsi"/>
          <w:b/>
          <w:sz w:val="28"/>
          <w:szCs w:val="28"/>
          <w:lang w:val="fr-CA"/>
        </w:rPr>
        <w:t>L’élève européen lit le rouleau C</w:t>
      </w:r>
      <w:r w:rsidRPr="009F6B26">
        <w:rPr>
          <w:rFonts w:asciiTheme="majorHAnsi" w:hAnsiTheme="majorHAnsi"/>
          <w:sz w:val="28"/>
          <w:szCs w:val="28"/>
          <w:lang w:val="fr-CA"/>
        </w:rPr>
        <w:t> : James Douglas, le gouverneur de l’Île de Vancouver, a envoyé une expédition en Angleterre en 1856. Il écrit : « … l’objectif des Indiens en visitant cet endroit n’est pas de faire la guerre à l’Homme blanc, mais de profiter de sa présence, en vendant leurs fourrures et autres produits. »</w:t>
      </w:r>
    </w:p>
    <w:p w14:paraId="311ACA2D" w14:textId="77777777" w:rsidR="009F6B26" w:rsidRDefault="009F6B26" w:rsidP="009F6B26">
      <w:pPr>
        <w:pStyle w:val="Body"/>
        <w:shd w:val="clear" w:color="auto" w:fill="FFFFFF"/>
        <w:rPr>
          <w:rFonts w:asciiTheme="majorHAnsi" w:hAnsiTheme="majorHAnsi"/>
          <w:b/>
          <w:sz w:val="28"/>
          <w:szCs w:val="28"/>
          <w:lang w:val="fr-CA"/>
        </w:rPr>
      </w:pPr>
    </w:p>
    <w:p w14:paraId="36C8786E" w14:textId="11ACE6B1" w:rsidR="009F6B26" w:rsidRDefault="00F86A15" w:rsidP="009F6B26">
      <w:pPr>
        <w:pStyle w:val="Body"/>
        <w:shd w:val="clear" w:color="auto" w:fill="FFFFFF"/>
        <w:rPr>
          <w:rFonts w:asciiTheme="majorHAnsi" w:hAnsiTheme="majorHAnsi"/>
          <w:sz w:val="28"/>
          <w:szCs w:val="28"/>
          <w:lang w:val="fr-CA"/>
        </w:rPr>
      </w:pPr>
      <w:r w:rsidRPr="009F6B26">
        <w:rPr>
          <w:rFonts w:asciiTheme="majorHAnsi" w:hAnsiTheme="majorHAnsi"/>
          <w:b/>
          <w:sz w:val="28"/>
          <w:szCs w:val="28"/>
          <w:lang w:val="fr-CA"/>
        </w:rPr>
        <w:t>L’élève européen(ne) lit le rouleau D</w:t>
      </w:r>
      <w:r w:rsidRPr="009F6B26">
        <w:rPr>
          <w:rFonts w:asciiTheme="majorHAnsi" w:hAnsiTheme="majorHAnsi"/>
          <w:sz w:val="28"/>
          <w:szCs w:val="28"/>
          <w:lang w:val="fr-CA"/>
        </w:rPr>
        <w:t xml:space="preserve"> : Sur l’Île de Vancouver, les hommes autochtones ont montré aux pionniers où les veines de charbons pouvaient être extraites et plusieurs d’entre nous travaillions comme mineurs à la surface. Le journal </w:t>
      </w:r>
      <w:r w:rsidRPr="009F6B26">
        <w:rPr>
          <w:rFonts w:asciiTheme="majorHAnsi" w:hAnsiTheme="majorHAnsi"/>
          <w:i/>
          <w:sz w:val="28"/>
          <w:szCs w:val="28"/>
          <w:lang w:val="fr-CA"/>
        </w:rPr>
        <w:t>The Victoria Gazette</w:t>
      </w:r>
      <w:r w:rsidRPr="009F6B26">
        <w:rPr>
          <w:rFonts w:asciiTheme="majorHAnsi" w:hAnsiTheme="majorHAnsi"/>
          <w:sz w:val="28"/>
          <w:szCs w:val="28"/>
          <w:lang w:val="fr-CA"/>
        </w:rPr>
        <w:t xml:space="preserve"> rapporte en 1858 :</w:t>
      </w:r>
    </w:p>
    <w:p w14:paraId="584DB59D" w14:textId="1CF00AF3" w:rsidR="009F6B26" w:rsidRPr="009F6B26" w:rsidRDefault="00F86A15" w:rsidP="009F6B26">
      <w:pPr>
        <w:pStyle w:val="Body"/>
        <w:shd w:val="clear" w:color="auto" w:fill="FFFFFF"/>
        <w:rPr>
          <w:rFonts w:asciiTheme="majorHAnsi" w:hAnsiTheme="majorHAnsi"/>
          <w:sz w:val="28"/>
          <w:szCs w:val="28"/>
          <w:lang w:val="fr-CA"/>
        </w:rPr>
      </w:pPr>
      <w:r w:rsidRPr="009F6B26">
        <w:rPr>
          <w:rFonts w:asciiTheme="majorHAnsi" w:hAnsiTheme="majorHAnsi"/>
          <w:sz w:val="28"/>
          <w:szCs w:val="28"/>
          <w:lang w:val="fr-CA"/>
        </w:rPr>
        <w:t>« … il y a quelque trente ou cinquante mineurs, en majorité des Indiens, constamment employés à sortir le charbon » et « Des centaines d’Autochtones, en majorité des femmes, (étaient) employés à transporter le charbon dans des canots à côté des bateaux. »</w:t>
      </w:r>
    </w:p>
    <w:p w14:paraId="629F8F9F" w14:textId="77777777" w:rsidR="009F6B26" w:rsidRDefault="009F6B26" w:rsidP="009F6B26">
      <w:pPr>
        <w:pStyle w:val="Body"/>
        <w:shd w:val="clear" w:color="auto" w:fill="FFFFFF"/>
        <w:rPr>
          <w:rFonts w:asciiTheme="majorHAnsi" w:hAnsiTheme="majorHAnsi"/>
          <w:b/>
          <w:sz w:val="28"/>
          <w:szCs w:val="28"/>
          <w:lang w:val="fr-CA"/>
        </w:rPr>
      </w:pPr>
    </w:p>
    <w:p w14:paraId="42D4620D" w14:textId="6BCAEAD3" w:rsidR="00F86A15" w:rsidRDefault="00F86A15" w:rsidP="009F6B26">
      <w:pPr>
        <w:pStyle w:val="Body"/>
        <w:shd w:val="clear" w:color="auto" w:fill="FFFFFF"/>
        <w:rPr>
          <w:rFonts w:asciiTheme="majorHAnsi" w:hAnsiTheme="majorHAnsi"/>
          <w:sz w:val="28"/>
          <w:szCs w:val="28"/>
          <w:lang w:val="fr-CA"/>
        </w:rPr>
      </w:pPr>
      <w:r w:rsidRPr="009F6B26">
        <w:rPr>
          <w:rFonts w:asciiTheme="majorHAnsi" w:hAnsiTheme="majorHAnsi"/>
          <w:b/>
          <w:sz w:val="28"/>
          <w:szCs w:val="28"/>
          <w:lang w:val="fr-CA"/>
        </w:rPr>
        <w:lastRenderedPageBreak/>
        <w:t>L’élève européen(ne) lit le rouleau E</w:t>
      </w:r>
      <w:r w:rsidRPr="009F6B26">
        <w:rPr>
          <w:rFonts w:asciiTheme="majorHAnsi" w:hAnsiTheme="majorHAnsi"/>
          <w:sz w:val="28"/>
          <w:szCs w:val="28"/>
          <w:lang w:val="fr-CA"/>
        </w:rPr>
        <w:t xml:space="preserve"> : James Moore a écrit en 1858 : « …une tribu entière d’Indiens Yale est descendue de Yale et a campé sur </w:t>
      </w:r>
      <w:proofErr w:type="spellStart"/>
      <w:r w:rsidRPr="009F6B26">
        <w:rPr>
          <w:rFonts w:asciiTheme="majorHAnsi" w:hAnsiTheme="majorHAnsi"/>
          <w:sz w:val="28"/>
          <w:szCs w:val="28"/>
          <w:lang w:val="fr-CA"/>
        </w:rPr>
        <w:t>Hill’s</w:t>
      </w:r>
      <w:proofErr w:type="spellEnd"/>
      <w:r w:rsidRPr="009F6B26">
        <w:rPr>
          <w:rFonts w:asciiTheme="majorHAnsi" w:hAnsiTheme="majorHAnsi"/>
          <w:sz w:val="28"/>
          <w:szCs w:val="28"/>
          <w:lang w:val="fr-CA"/>
        </w:rPr>
        <w:t xml:space="preserve"> Bar, environ 300 hommes, femmes et enfants, et ils ont aussi commencé à chercher de l’or. »</w:t>
      </w:r>
    </w:p>
    <w:p w14:paraId="2ED26223" w14:textId="77777777" w:rsidR="009F6B26" w:rsidRPr="009F6B26" w:rsidRDefault="009F6B26" w:rsidP="009F6B26">
      <w:pPr>
        <w:pStyle w:val="Body"/>
        <w:shd w:val="clear" w:color="auto" w:fill="FFFFFF"/>
        <w:rPr>
          <w:rFonts w:asciiTheme="majorHAnsi" w:hAnsiTheme="majorHAnsi"/>
          <w:sz w:val="28"/>
          <w:szCs w:val="28"/>
          <w:lang w:val="fr-CA"/>
        </w:rPr>
      </w:pPr>
    </w:p>
    <w:p w14:paraId="68C274CC" w14:textId="77777777" w:rsidR="00F86A15" w:rsidRPr="009F6B26" w:rsidRDefault="00F86A15" w:rsidP="009F6B26">
      <w:pPr>
        <w:pStyle w:val="Body"/>
        <w:shd w:val="clear" w:color="auto" w:fill="FFFFFF"/>
        <w:rPr>
          <w:rFonts w:asciiTheme="majorHAnsi" w:hAnsiTheme="majorHAnsi"/>
          <w:sz w:val="28"/>
          <w:szCs w:val="28"/>
          <w:lang w:val="fr-CA"/>
        </w:rPr>
      </w:pPr>
      <w:r w:rsidRPr="009F6B26">
        <w:rPr>
          <w:rFonts w:asciiTheme="majorHAnsi" w:hAnsiTheme="majorHAnsi"/>
          <w:b/>
          <w:sz w:val="28"/>
          <w:szCs w:val="28"/>
          <w:lang w:val="fr-CA"/>
        </w:rPr>
        <w:t>L’élève européen(ne) lit le rouleau F</w:t>
      </w:r>
      <w:r w:rsidRPr="009F6B26">
        <w:rPr>
          <w:rFonts w:asciiTheme="majorHAnsi" w:hAnsiTheme="majorHAnsi"/>
          <w:sz w:val="28"/>
          <w:szCs w:val="28"/>
          <w:lang w:val="fr-CA"/>
        </w:rPr>
        <w:t xml:space="preserve"> : Edgar </w:t>
      </w:r>
      <w:proofErr w:type="spellStart"/>
      <w:r w:rsidRPr="009F6B26">
        <w:rPr>
          <w:rFonts w:asciiTheme="majorHAnsi" w:hAnsiTheme="majorHAnsi"/>
          <w:sz w:val="28"/>
          <w:szCs w:val="28"/>
          <w:lang w:val="fr-CA"/>
        </w:rPr>
        <w:t>Dewdney</w:t>
      </w:r>
      <w:proofErr w:type="spellEnd"/>
      <w:r w:rsidRPr="009F6B26">
        <w:rPr>
          <w:rFonts w:asciiTheme="majorHAnsi" w:hAnsiTheme="majorHAnsi"/>
          <w:sz w:val="28"/>
          <w:szCs w:val="28"/>
          <w:lang w:val="fr-CA"/>
        </w:rPr>
        <w:t>, un prospecteur d’or, a engagé des membres des Premières Nations pour empaqueter la marchandise. Il a écrit : « J’en ai choisi 18, quelques femmes. Les vieux Indiens étaient vraiment bons, sinon meilleurs que les jeunes. »</w:t>
      </w:r>
    </w:p>
    <w:p w14:paraId="2A69956B" w14:textId="77777777" w:rsidR="009F6B26" w:rsidRDefault="009F6B26" w:rsidP="009F6B26">
      <w:pPr>
        <w:pStyle w:val="Body"/>
        <w:shd w:val="clear" w:color="auto" w:fill="FFFFFF"/>
        <w:rPr>
          <w:rFonts w:asciiTheme="majorHAnsi" w:hAnsiTheme="majorHAnsi"/>
          <w:b/>
          <w:sz w:val="28"/>
          <w:szCs w:val="28"/>
          <w:lang w:val="fr-CA"/>
        </w:rPr>
      </w:pPr>
    </w:p>
    <w:p w14:paraId="49E1FB29" w14:textId="32E5869A" w:rsidR="00F86A15" w:rsidRPr="009F6B26" w:rsidRDefault="00F86A15" w:rsidP="009F6B26">
      <w:pPr>
        <w:pStyle w:val="Body"/>
        <w:shd w:val="clear" w:color="auto" w:fill="FFFFFF"/>
        <w:rPr>
          <w:rFonts w:asciiTheme="majorHAnsi" w:hAnsiTheme="majorHAnsi"/>
          <w:sz w:val="28"/>
          <w:szCs w:val="28"/>
          <w:lang w:val="fr-CA"/>
        </w:rPr>
      </w:pPr>
      <w:r w:rsidRPr="009F6B26">
        <w:rPr>
          <w:rFonts w:asciiTheme="majorHAnsi" w:hAnsiTheme="majorHAnsi"/>
          <w:b/>
          <w:sz w:val="28"/>
          <w:szCs w:val="28"/>
          <w:lang w:val="fr-CA"/>
        </w:rPr>
        <w:t>L’élève européen(ne) lit le rouleau G</w:t>
      </w:r>
      <w:r w:rsidRPr="009F6B26">
        <w:rPr>
          <w:rFonts w:asciiTheme="majorHAnsi" w:hAnsiTheme="majorHAnsi"/>
          <w:sz w:val="28"/>
          <w:szCs w:val="28"/>
          <w:lang w:val="fr-CA"/>
        </w:rPr>
        <w:t xml:space="preserve"> : Le Colonel </w:t>
      </w:r>
      <w:proofErr w:type="spellStart"/>
      <w:r w:rsidRPr="009F6B26">
        <w:rPr>
          <w:rFonts w:asciiTheme="majorHAnsi" w:hAnsiTheme="majorHAnsi"/>
          <w:sz w:val="28"/>
          <w:szCs w:val="28"/>
          <w:lang w:val="fr-CA"/>
        </w:rPr>
        <w:t>Wolfendon</w:t>
      </w:r>
      <w:proofErr w:type="spellEnd"/>
      <w:r w:rsidRPr="009F6B26">
        <w:rPr>
          <w:rFonts w:asciiTheme="majorHAnsi" w:hAnsiTheme="majorHAnsi"/>
          <w:sz w:val="28"/>
          <w:szCs w:val="28"/>
          <w:lang w:val="fr-CA"/>
        </w:rPr>
        <w:t xml:space="preserve"> a observé les membres des Premières Nations construire les routes dans la ville de Victoria. Il a écrit : « Une bande d’Indiens – peut-être cent, sous les ordres de Grizzly Morris, un contracteur… avec des pics, des pelles et des brouettes, construisant la rue Belleville sur les bords de l’eau. »</w:t>
      </w:r>
    </w:p>
    <w:p w14:paraId="255919FC" w14:textId="77777777" w:rsidR="009F6B26" w:rsidRDefault="009F6B26" w:rsidP="009F6B26">
      <w:pPr>
        <w:pStyle w:val="Body"/>
        <w:shd w:val="clear" w:color="auto" w:fill="FFFFFF"/>
        <w:rPr>
          <w:rFonts w:asciiTheme="majorHAnsi" w:hAnsiTheme="majorHAnsi"/>
          <w:b/>
          <w:sz w:val="28"/>
          <w:szCs w:val="28"/>
          <w:lang w:val="fr-CA"/>
        </w:rPr>
      </w:pPr>
    </w:p>
    <w:p w14:paraId="7D6D42EF" w14:textId="2F95EAAF" w:rsidR="00F86A15" w:rsidRPr="009F6B26" w:rsidRDefault="00F86A15" w:rsidP="009F6B26">
      <w:pPr>
        <w:pStyle w:val="Body"/>
        <w:shd w:val="clear" w:color="auto" w:fill="FFFFFF"/>
        <w:rPr>
          <w:rFonts w:asciiTheme="majorHAnsi" w:hAnsiTheme="majorHAnsi"/>
          <w:sz w:val="28"/>
          <w:szCs w:val="28"/>
          <w:lang w:val="fr-CA"/>
        </w:rPr>
      </w:pPr>
      <w:r w:rsidRPr="009F6B26">
        <w:rPr>
          <w:rFonts w:asciiTheme="majorHAnsi" w:hAnsiTheme="majorHAnsi"/>
          <w:b/>
          <w:sz w:val="28"/>
          <w:szCs w:val="28"/>
          <w:lang w:val="fr-CA"/>
        </w:rPr>
        <w:t>L’élève européen(ne) lit le rouleau H</w:t>
      </w:r>
      <w:r w:rsidRPr="009F6B26">
        <w:rPr>
          <w:rFonts w:asciiTheme="majorHAnsi" w:hAnsiTheme="majorHAnsi"/>
          <w:sz w:val="28"/>
          <w:szCs w:val="28"/>
          <w:lang w:val="fr-CA"/>
        </w:rPr>
        <w:t xml:space="preserve"> : Le journal </w:t>
      </w:r>
      <w:r w:rsidRPr="009F6B26">
        <w:rPr>
          <w:rFonts w:asciiTheme="majorHAnsi" w:hAnsiTheme="majorHAnsi"/>
          <w:i/>
          <w:sz w:val="28"/>
          <w:szCs w:val="28"/>
          <w:lang w:val="fr-CA"/>
        </w:rPr>
        <w:t xml:space="preserve">The British </w:t>
      </w:r>
      <w:proofErr w:type="spellStart"/>
      <w:r w:rsidRPr="009F6B26">
        <w:rPr>
          <w:rFonts w:asciiTheme="majorHAnsi" w:hAnsiTheme="majorHAnsi"/>
          <w:i/>
          <w:sz w:val="28"/>
          <w:szCs w:val="28"/>
          <w:lang w:val="fr-CA"/>
        </w:rPr>
        <w:t>Colonist</w:t>
      </w:r>
      <w:proofErr w:type="spellEnd"/>
      <w:r w:rsidRPr="009F6B26">
        <w:rPr>
          <w:rFonts w:asciiTheme="majorHAnsi" w:hAnsiTheme="majorHAnsi"/>
          <w:sz w:val="28"/>
          <w:szCs w:val="28"/>
          <w:lang w:val="fr-CA"/>
        </w:rPr>
        <w:t xml:space="preserve"> affirme en 1860 : « Il y a plusieurs fours dans la ville de Victoria, très occupés à chauffer les briques… Les travailleurs du chantier sont payés 30$ par mois et logés. Cependant, la majorité du travail ardu est effectué par les Indiens, qui reçoivent 20$ par mois. »</w:t>
      </w:r>
    </w:p>
    <w:p w14:paraId="10875571" w14:textId="77777777" w:rsidR="009F6B26" w:rsidRDefault="009F6B26" w:rsidP="009F6B26">
      <w:pPr>
        <w:pStyle w:val="Body"/>
        <w:shd w:val="clear" w:color="auto" w:fill="FFFFFF"/>
        <w:rPr>
          <w:rFonts w:asciiTheme="majorHAnsi" w:hAnsiTheme="majorHAnsi"/>
          <w:b/>
          <w:sz w:val="28"/>
          <w:szCs w:val="28"/>
          <w:lang w:val="fr-CA"/>
        </w:rPr>
      </w:pPr>
    </w:p>
    <w:p w14:paraId="1E6C509E" w14:textId="78E69D2B" w:rsidR="00F86A15" w:rsidRPr="009F6B26" w:rsidRDefault="00F86A15" w:rsidP="009F6B26">
      <w:pPr>
        <w:pStyle w:val="Body"/>
        <w:shd w:val="clear" w:color="auto" w:fill="FFFFFF"/>
        <w:rPr>
          <w:rFonts w:asciiTheme="majorHAnsi" w:hAnsiTheme="majorHAnsi"/>
          <w:sz w:val="28"/>
          <w:szCs w:val="28"/>
          <w:lang w:val="fr-CA"/>
        </w:rPr>
      </w:pPr>
      <w:r w:rsidRPr="009F6B26">
        <w:rPr>
          <w:rFonts w:asciiTheme="majorHAnsi" w:hAnsiTheme="majorHAnsi"/>
          <w:b/>
          <w:sz w:val="28"/>
          <w:szCs w:val="28"/>
          <w:lang w:val="fr-CA"/>
        </w:rPr>
        <w:t>L’élève européen(ne) lit le rouleau I</w:t>
      </w:r>
      <w:r w:rsidRPr="009F6B26">
        <w:rPr>
          <w:rFonts w:asciiTheme="majorHAnsi" w:hAnsiTheme="majorHAnsi"/>
          <w:sz w:val="28"/>
          <w:szCs w:val="28"/>
          <w:lang w:val="fr-CA"/>
        </w:rPr>
        <w:t> : Le superintendant Powell a écrit en 1884 : « … on préférait les équipages indiens sur les bateaux à vapeur, du fait que les Autochtones sont les plus disposés et les plus actifs. »</w:t>
      </w:r>
    </w:p>
    <w:p w14:paraId="0A3DDA97" w14:textId="77777777" w:rsidR="009F6B26" w:rsidRDefault="009F6B26" w:rsidP="009F6B26">
      <w:pPr>
        <w:pStyle w:val="Body"/>
        <w:shd w:val="clear" w:color="auto" w:fill="FFFFFF"/>
        <w:rPr>
          <w:rFonts w:asciiTheme="majorHAnsi" w:hAnsiTheme="majorHAnsi"/>
          <w:b/>
          <w:sz w:val="28"/>
          <w:szCs w:val="28"/>
          <w:lang w:val="fr-CA"/>
        </w:rPr>
      </w:pPr>
    </w:p>
    <w:p w14:paraId="4D537989" w14:textId="77777777" w:rsidR="00016A01" w:rsidRDefault="00016A01" w:rsidP="009F6B26">
      <w:pPr>
        <w:pStyle w:val="Body"/>
        <w:shd w:val="clear" w:color="auto" w:fill="FFFFFF"/>
        <w:rPr>
          <w:rFonts w:asciiTheme="majorHAnsi" w:hAnsiTheme="majorHAnsi"/>
          <w:b/>
          <w:sz w:val="28"/>
          <w:szCs w:val="28"/>
          <w:lang w:val="fr-CA"/>
        </w:rPr>
      </w:pPr>
    </w:p>
    <w:p w14:paraId="0725A2C8" w14:textId="255BC9A5" w:rsidR="00F86A15" w:rsidRPr="009F6B26" w:rsidRDefault="00F86A15" w:rsidP="009F6B26">
      <w:pPr>
        <w:pStyle w:val="Body"/>
        <w:shd w:val="clear" w:color="auto" w:fill="FFFFFF"/>
        <w:rPr>
          <w:rFonts w:asciiTheme="majorHAnsi" w:hAnsiTheme="majorHAnsi"/>
          <w:sz w:val="28"/>
          <w:szCs w:val="28"/>
          <w:lang w:val="fr-CA"/>
        </w:rPr>
      </w:pPr>
      <w:r w:rsidRPr="009F6B26">
        <w:rPr>
          <w:rFonts w:asciiTheme="majorHAnsi" w:hAnsiTheme="majorHAnsi"/>
          <w:b/>
          <w:sz w:val="28"/>
          <w:szCs w:val="28"/>
          <w:lang w:val="fr-CA"/>
        </w:rPr>
        <w:lastRenderedPageBreak/>
        <w:t>L’élève européen(ne) lit le rouleau J</w:t>
      </w:r>
      <w:r w:rsidRPr="009F6B26">
        <w:rPr>
          <w:rFonts w:asciiTheme="majorHAnsi" w:hAnsiTheme="majorHAnsi"/>
          <w:sz w:val="28"/>
          <w:szCs w:val="28"/>
          <w:lang w:val="fr-CA"/>
        </w:rPr>
        <w:t> : Un responsable de l’industrie de la pêche en Colombie-Britannique a dit des conserveries de la rivière Skeena que, en 1884, « … la plus grande part du travail est maintenant assumée par les Indiens. Les hommes ont un contrat pour fournir le saumon et les femmes et les enfants sont des travailleurs pratiques et utiles dans les différentes étapes nécessaires à la préparation du poisson pour le marché. »</w:t>
      </w:r>
    </w:p>
    <w:p w14:paraId="08C8AD81" w14:textId="77777777" w:rsidR="00016A01" w:rsidRDefault="00016A01" w:rsidP="009F6B26">
      <w:pPr>
        <w:pStyle w:val="Body"/>
        <w:shd w:val="clear" w:color="auto" w:fill="FFFFFF"/>
        <w:rPr>
          <w:rFonts w:asciiTheme="majorHAnsi" w:hAnsiTheme="majorHAnsi"/>
          <w:b/>
          <w:sz w:val="28"/>
          <w:szCs w:val="28"/>
          <w:lang w:val="fr-CA"/>
        </w:rPr>
      </w:pPr>
    </w:p>
    <w:p w14:paraId="6A192781" w14:textId="4072DA6E" w:rsidR="009F6B26" w:rsidRDefault="00F86A15" w:rsidP="009F6B26">
      <w:pPr>
        <w:pStyle w:val="Body"/>
        <w:shd w:val="clear" w:color="auto" w:fill="FFFFFF"/>
        <w:rPr>
          <w:rFonts w:asciiTheme="majorHAnsi" w:hAnsiTheme="majorHAnsi"/>
          <w:sz w:val="28"/>
          <w:szCs w:val="28"/>
          <w:lang w:val="fr-CA"/>
        </w:rPr>
      </w:pPr>
      <w:r w:rsidRPr="009F6B26">
        <w:rPr>
          <w:rFonts w:asciiTheme="majorHAnsi" w:hAnsiTheme="majorHAnsi"/>
          <w:b/>
          <w:sz w:val="28"/>
          <w:szCs w:val="28"/>
          <w:lang w:val="fr-CA"/>
        </w:rPr>
        <w:t>L’élève européen(ne) lit le rouleau K</w:t>
      </w:r>
      <w:r w:rsidRPr="009F6B26">
        <w:rPr>
          <w:rFonts w:asciiTheme="majorHAnsi" w:hAnsiTheme="majorHAnsi"/>
          <w:sz w:val="28"/>
          <w:szCs w:val="28"/>
          <w:lang w:val="fr-CA"/>
        </w:rPr>
        <w:t xml:space="preserve"> : Le juge Matthew </w:t>
      </w:r>
      <w:proofErr w:type="spellStart"/>
      <w:r w:rsidRPr="009F6B26">
        <w:rPr>
          <w:rFonts w:asciiTheme="majorHAnsi" w:hAnsiTheme="majorHAnsi"/>
          <w:sz w:val="28"/>
          <w:szCs w:val="28"/>
          <w:lang w:val="fr-CA"/>
        </w:rPr>
        <w:t>Begbie</w:t>
      </w:r>
      <w:proofErr w:type="spellEnd"/>
      <w:r w:rsidRPr="009F6B26">
        <w:rPr>
          <w:rFonts w:asciiTheme="majorHAnsi" w:hAnsiTheme="majorHAnsi"/>
          <w:sz w:val="28"/>
          <w:szCs w:val="28"/>
          <w:lang w:val="fr-CA"/>
        </w:rPr>
        <w:t> était à Hope, en Colombie-Britannique, en 1860, et a écrit que les membres des Premières Nations étaient des acteurs essentiels dans les activités de commerce de la ville.</w:t>
      </w:r>
    </w:p>
    <w:p w14:paraId="1132930B" w14:textId="77777777" w:rsidR="009F6B26" w:rsidRPr="009F6B26" w:rsidRDefault="009F6B26" w:rsidP="009F6B26">
      <w:pPr>
        <w:pStyle w:val="Body"/>
        <w:shd w:val="clear" w:color="auto" w:fill="FFFFFF"/>
        <w:rPr>
          <w:rFonts w:asciiTheme="majorHAnsi" w:hAnsiTheme="majorHAnsi"/>
          <w:sz w:val="28"/>
          <w:szCs w:val="28"/>
          <w:lang w:val="fr-CA"/>
        </w:rPr>
      </w:pPr>
    </w:p>
    <w:p w14:paraId="0E2DA4F1" w14:textId="5C3FC1BF" w:rsidR="00F86A15" w:rsidRDefault="00F86A15" w:rsidP="009F6B26">
      <w:pPr>
        <w:pStyle w:val="Body"/>
        <w:rPr>
          <w:rFonts w:asciiTheme="majorHAnsi" w:hAnsiTheme="majorHAnsi"/>
          <w:sz w:val="28"/>
          <w:szCs w:val="28"/>
          <w:lang w:val="fr-CA"/>
        </w:rPr>
      </w:pPr>
      <w:r w:rsidRPr="009F6B26">
        <w:rPr>
          <w:rFonts w:asciiTheme="majorHAnsi" w:hAnsiTheme="majorHAnsi"/>
          <w:b/>
          <w:sz w:val="28"/>
          <w:szCs w:val="28"/>
          <w:lang w:val="fr-CA"/>
        </w:rPr>
        <w:t>L’élève européen(ne) lit le rouleau L</w:t>
      </w:r>
      <w:r w:rsidRPr="009F6B26">
        <w:rPr>
          <w:rFonts w:asciiTheme="majorHAnsi" w:hAnsiTheme="majorHAnsi"/>
          <w:sz w:val="28"/>
          <w:szCs w:val="28"/>
          <w:lang w:val="fr-CA"/>
        </w:rPr>
        <w:t> : Maintenant, entendez ceci ! Selon la Loi sur les Indiens de 1876 et l’Acte de l’Amérique du Nord britannique de 1867, vos territoires et vous êtes maintenant sous le contrôle direct du gouvernement fédéral canadien. Vous allez maintenant être placés dans des réserves. (</w:t>
      </w:r>
      <w:r w:rsidRPr="009F6B26">
        <w:rPr>
          <w:rFonts w:asciiTheme="majorHAnsi" w:hAnsiTheme="majorHAnsi"/>
          <w:b/>
          <w:sz w:val="28"/>
          <w:szCs w:val="28"/>
          <w:lang w:val="fr-CA"/>
        </w:rPr>
        <w:t>Dirige un élève autochtone</w:t>
      </w:r>
      <w:r w:rsidRPr="009F6B26">
        <w:rPr>
          <w:rFonts w:asciiTheme="majorHAnsi" w:hAnsiTheme="majorHAnsi"/>
          <w:sz w:val="28"/>
          <w:szCs w:val="28"/>
          <w:lang w:val="fr-CA"/>
        </w:rPr>
        <w:t>) S’il-te-plaît, plie la couverture jusqu’à ce qu’elle soit juste assez grande pour t’y tenir debout.</w:t>
      </w:r>
    </w:p>
    <w:p w14:paraId="14F8916F" w14:textId="77777777" w:rsidR="009F6B26" w:rsidRPr="009F6B26" w:rsidRDefault="009F6B26" w:rsidP="009F6B26">
      <w:pPr>
        <w:pStyle w:val="Body"/>
        <w:rPr>
          <w:rFonts w:asciiTheme="majorHAnsi" w:hAnsiTheme="majorHAnsi"/>
          <w:sz w:val="28"/>
          <w:szCs w:val="28"/>
          <w:lang w:val="fr-CA"/>
        </w:rPr>
      </w:pPr>
    </w:p>
    <w:p w14:paraId="28955D0B" w14:textId="77777777" w:rsidR="009F6B26" w:rsidRDefault="00F86A15" w:rsidP="009F6B26">
      <w:pPr>
        <w:pStyle w:val="Body"/>
        <w:rPr>
          <w:rFonts w:asciiTheme="majorHAnsi" w:hAnsiTheme="majorHAnsi"/>
          <w:sz w:val="28"/>
          <w:szCs w:val="28"/>
          <w:lang w:val="fr-CA"/>
        </w:rPr>
      </w:pPr>
      <w:r w:rsidRPr="009F6B26">
        <w:rPr>
          <w:rFonts w:asciiTheme="majorHAnsi" w:hAnsiTheme="majorHAnsi"/>
          <w:b/>
          <w:sz w:val="28"/>
          <w:szCs w:val="28"/>
          <w:lang w:val="fr-CA"/>
        </w:rPr>
        <w:t>L’élève européen(ne) lit le rouleau M (en marchant autour du cercle des Premières Nations)</w:t>
      </w:r>
      <w:r w:rsidRPr="009F6B26">
        <w:rPr>
          <w:rFonts w:asciiTheme="majorHAnsi" w:hAnsiTheme="majorHAnsi"/>
          <w:sz w:val="28"/>
          <w:szCs w:val="28"/>
          <w:lang w:val="fr-CA"/>
        </w:rPr>
        <w:t> :</w:t>
      </w:r>
    </w:p>
    <w:p w14:paraId="37D6EC7E" w14:textId="1B550B0B" w:rsidR="00F86A15" w:rsidRPr="009F6B26" w:rsidRDefault="00F86A15" w:rsidP="009F6B26">
      <w:pPr>
        <w:pStyle w:val="Body"/>
        <w:rPr>
          <w:rFonts w:asciiTheme="majorHAnsi" w:hAnsiTheme="majorHAnsi"/>
          <w:sz w:val="28"/>
          <w:szCs w:val="28"/>
          <w:lang w:val="fr-CA"/>
        </w:rPr>
      </w:pPr>
      <w:r w:rsidRPr="009F6B26">
        <w:rPr>
          <w:rFonts w:asciiTheme="majorHAnsi" w:hAnsiTheme="majorHAnsi"/>
          <w:sz w:val="28"/>
          <w:szCs w:val="28"/>
          <w:lang w:val="fr-CA"/>
        </w:rPr>
        <w:t>Vous ne pouvez pas quitter votre réserve sans un permis. Vous ne pouvez pas voter. Vous ne pouvez pas vous rassembler pour discuter de vos droits. Vous ne pouvez pas pratiquer votre spiritualité ou vos formes traditionnelles de gouvernement. Si vous faites une de ces choses, vous pourriez être jetés en prison.</w:t>
      </w:r>
    </w:p>
    <w:p w14:paraId="20E2F6A0" w14:textId="77777777" w:rsidR="00F86A15" w:rsidRPr="00F86A15" w:rsidRDefault="00F86A15" w:rsidP="00F86A15">
      <w:pPr>
        <w:spacing w:after="0" w:line="240" w:lineRule="auto"/>
        <w:rPr>
          <w:rFonts w:asciiTheme="majorHAnsi" w:eastAsia="MS Mincho" w:hAnsiTheme="majorHAnsi"/>
          <w:b/>
          <w:bCs/>
          <w:iCs/>
          <w:sz w:val="28"/>
          <w:szCs w:val="28"/>
          <w:lang w:bidi="en-US"/>
        </w:rPr>
      </w:pPr>
    </w:p>
    <w:p w14:paraId="74B253C9" w14:textId="6D64BA5F" w:rsidR="005E3009" w:rsidRPr="00782C17" w:rsidRDefault="005E3009" w:rsidP="00782C17">
      <w:pPr>
        <w:spacing w:after="0" w:line="240" w:lineRule="auto"/>
        <w:rPr>
          <w:rFonts w:asciiTheme="majorHAnsi" w:hAnsiTheme="majorHAnsi"/>
          <w:sz w:val="28"/>
          <w:szCs w:val="28"/>
        </w:rPr>
      </w:pPr>
    </w:p>
    <w:sectPr w:rsidR="005E3009" w:rsidRPr="00782C17" w:rsidSect="004727F3">
      <w:headerReference w:type="default" r:id="rId7"/>
      <w:footerReference w:type="default" r:id="rId8"/>
      <w:pgSz w:w="12240" w:h="15840"/>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620BF1" w14:textId="77777777" w:rsidR="00D43864" w:rsidRDefault="00D43864" w:rsidP="005A3381">
      <w:pPr>
        <w:spacing w:after="0" w:line="240" w:lineRule="auto"/>
      </w:pPr>
      <w:r>
        <w:separator/>
      </w:r>
    </w:p>
  </w:endnote>
  <w:endnote w:type="continuationSeparator" w:id="0">
    <w:p w14:paraId="781FB4BC" w14:textId="77777777" w:rsidR="00D43864" w:rsidRDefault="00D43864"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B2847B" w14:textId="3AC5D1AC" w:rsidR="000164B6" w:rsidRPr="00E755D5" w:rsidRDefault="00E755D5" w:rsidP="00FF4C63">
    <w:pPr>
      <w:pStyle w:val="Footer"/>
      <w:pBdr>
        <w:top w:val="thinThickSmallGap" w:sz="24" w:space="1" w:color="622423"/>
      </w:pBdr>
      <w:tabs>
        <w:tab w:val="clear" w:pos="4680"/>
      </w:tabs>
      <w:rPr>
        <w:rFonts w:ascii="Cambria" w:hAnsi="Cambria"/>
        <w:lang w:val="fr-FR"/>
      </w:rPr>
    </w:pPr>
    <w:r w:rsidRPr="00E755D5">
      <w:rPr>
        <w:rFonts w:ascii="Cambria" w:hAnsi="Cambria"/>
        <w:lang w:val="fr-FR"/>
      </w:rPr>
      <w:t>Projet d'histoire du travail: un partenariat entre le Labo</w:t>
    </w:r>
    <w:r>
      <w:rPr>
        <w:rFonts w:ascii="Cambria" w:hAnsi="Cambria"/>
        <w:lang w:val="fr-FR"/>
      </w:rPr>
      <w:t>u</w:t>
    </w:r>
    <w:r w:rsidRPr="00E755D5">
      <w:rPr>
        <w:rFonts w:ascii="Cambria" w:hAnsi="Cambria"/>
        <w:lang w:val="fr-FR"/>
      </w:rPr>
      <w:t xml:space="preserve">r </w:t>
    </w:r>
    <w:proofErr w:type="spellStart"/>
    <w:r w:rsidRPr="00E755D5">
      <w:rPr>
        <w:rFonts w:ascii="Cambria" w:hAnsi="Cambria"/>
        <w:lang w:val="fr-FR"/>
      </w:rPr>
      <w:t>Heritage</w:t>
    </w:r>
    <w:proofErr w:type="spellEnd"/>
    <w:r w:rsidRPr="00E755D5">
      <w:rPr>
        <w:rFonts w:ascii="Cambria" w:hAnsi="Cambria"/>
        <w:lang w:val="fr-FR"/>
      </w:rPr>
      <w:t xml:space="preserve"> Centre et la BCTF</w:t>
    </w:r>
    <w:r w:rsidR="000164B6" w:rsidRPr="00E755D5">
      <w:rPr>
        <w:rFonts w:asciiTheme="majorHAnsi" w:hAnsiTheme="majorHAnsi"/>
        <w:lang w:val="fr-FR"/>
      </w:rPr>
      <w:tab/>
    </w:r>
    <w:r w:rsidR="000164B6" w:rsidRPr="00E755D5">
      <w:rPr>
        <w:rFonts w:ascii="Cambria" w:hAnsi="Cambria"/>
        <w:lang w:val="fr-FR"/>
      </w:rPr>
      <w:t xml:space="preserve">Page </w:t>
    </w:r>
    <w:r w:rsidR="00950A18" w:rsidRPr="00FF4C63">
      <w:fldChar w:fldCharType="begin"/>
    </w:r>
    <w:r w:rsidR="000164B6" w:rsidRPr="00E755D5">
      <w:rPr>
        <w:lang w:val="fr-FR"/>
      </w:rPr>
      <w:instrText xml:space="preserve"> PAGE   \* MERGEFORMAT </w:instrText>
    </w:r>
    <w:r w:rsidR="00950A18" w:rsidRPr="00FF4C63">
      <w:fldChar w:fldCharType="separate"/>
    </w:r>
    <w:r w:rsidR="00C1582C" w:rsidRPr="00E755D5">
      <w:rPr>
        <w:rFonts w:ascii="Cambria" w:hAnsi="Cambria"/>
        <w:noProof/>
        <w:lang w:val="fr-FR"/>
      </w:rPr>
      <w:t>11</w:t>
    </w:r>
    <w:r w:rsidR="00950A18" w:rsidRPr="00FF4C63">
      <w:rPr>
        <w:rFonts w:ascii="Cambria" w:hAnsi="Cambria"/>
        <w:noProof/>
      </w:rPr>
      <w:fldChar w:fldCharType="end"/>
    </w:r>
  </w:p>
  <w:p w14:paraId="61912D29" w14:textId="77777777" w:rsidR="000164B6" w:rsidRPr="00E755D5" w:rsidRDefault="000164B6">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F9FF41" w14:textId="77777777" w:rsidR="00D43864" w:rsidRDefault="00D43864" w:rsidP="005A3381">
      <w:pPr>
        <w:spacing w:after="0" w:line="240" w:lineRule="auto"/>
      </w:pPr>
      <w:r>
        <w:separator/>
      </w:r>
    </w:p>
  </w:footnote>
  <w:footnote w:type="continuationSeparator" w:id="0">
    <w:p w14:paraId="15865124" w14:textId="77777777" w:rsidR="00D43864" w:rsidRDefault="00D43864"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794B2C" w14:textId="1A013E78" w:rsidR="000164B6" w:rsidRDefault="00E071BA">
    <w:pPr>
      <w:pStyle w:val="Header"/>
      <w:rPr>
        <w:rFonts w:ascii="Cambria" w:eastAsia="MS Gothic" w:hAnsi="Cambria"/>
        <w:b/>
        <w:sz w:val="26"/>
        <w:szCs w:val="26"/>
        <w:lang w:val="fr-CA"/>
      </w:rPr>
    </w:pPr>
    <w:r w:rsidRPr="009766C7">
      <w:rPr>
        <w:rFonts w:ascii="Cambria" w:eastAsia="MS Gothic" w:hAnsi="Cambria"/>
        <w:b/>
        <w:sz w:val="26"/>
        <w:szCs w:val="26"/>
        <w:lang w:val="fr-CA"/>
      </w:rPr>
      <w:t>Les travailleurs : une histoire de la main-d’œuvre en Colombie</w:t>
    </w:r>
    <w:r w:rsidR="009766C7" w:rsidRPr="009766C7">
      <w:rPr>
        <w:rFonts w:ascii="Cambria" w:eastAsia="MS Gothic" w:hAnsi="Cambria"/>
        <w:b/>
        <w:sz w:val="26"/>
        <w:szCs w:val="26"/>
        <w:lang w:val="fr-CA"/>
      </w:rPr>
      <w:t xml:space="preserve"> </w:t>
    </w:r>
    <w:r w:rsidRPr="009766C7">
      <w:rPr>
        <w:rFonts w:ascii="Cambria" w:eastAsia="MS Gothic" w:hAnsi="Cambria"/>
        <w:b/>
        <w:sz w:val="26"/>
        <w:szCs w:val="26"/>
        <w:lang w:val="fr-CA"/>
      </w:rPr>
      <w:t>Britannique</w:t>
    </w:r>
  </w:p>
  <w:p w14:paraId="3CC65284" w14:textId="195E1075" w:rsidR="009766C7" w:rsidRPr="009766C7" w:rsidRDefault="00190E16" w:rsidP="009766C7">
    <w:pPr>
      <w:pStyle w:val="Header"/>
      <w:tabs>
        <w:tab w:val="clear" w:pos="4680"/>
        <w:tab w:val="left" w:leader="underscore" w:pos="4395"/>
        <w:tab w:val="center" w:pos="4678"/>
      </w:tabs>
      <w:rPr>
        <w:rFonts w:ascii="Cambria" w:eastAsia="MS Gothic" w:hAnsi="Cambria"/>
        <w:b/>
        <w:sz w:val="26"/>
        <w:szCs w:val="26"/>
        <w:lang w:val="fr-CA"/>
      </w:rPr>
    </w:pPr>
    <w:r>
      <w:rPr>
        <w:rFonts w:ascii="Cambria" w:eastAsia="MS Gothic" w:hAnsi="Cambria"/>
        <w:b/>
        <w:noProof/>
        <w:sz w:val="26"/>
        <w:szCs w:val="26"/>
        <w:lang w:val="fr-CA"/>
      </w:rPr>
      <mc:AlternateContent>
        <mc:Choice Requires="wps">
          <w:drawing>
            <wp:anchor distT="0" distB="0" distL="114300" distR="114300" simplePos="0" relativeHeight="251659264" behindDoc="0" locked="0" layoutInCell="1" allowOverlap="1" wp14:anchorId="48AA0F5A" wp14:editId="4BED172C">
              <wp:simplePos x="0" y="0"/>
              <wp:positionH relativeFrom="column">
                <wp:posOffset>10571</wp:posOffset>
              </wp:positionH>
              <wp:positionV relativeFrom="paragraph">
                <wp:posOffset>82135</wp:posOffset>
              </wp:positionV>
              <wp:extent cx="5903958" cy="0"/>
              <wp:effectExtent l="0" t="19050" r="40005" b="38100"/>
              <wp:wrapNone/>
              <wp:docPr id="1" name="Straight Connector 1"/>
              <wp:cNvGraphicFramePr/>
              <a:graphic xmlns:a="http://schemas.openxmlformats.org/drawingml/2006/main">
                <a:graphicData uri="http://schemas.microsoft.com/office/word/2010/wordprocessingShape">
                  <wps:wsp>
                    <wps:cNvCnPr/>
                    <wps:spPr>
                      <a:xfrm>
                        <a:off x="0" y="0"/>
                        <a:ext cx="5903958" cy="0"/>
                      </a:xfrm>
                      <a:prstGeom prst="line">
                        <a:avLst/>
                      </a:prstGeom>
                      <a:ln w="47625" cmpd="thickThin">
                        <a:solidFill>
                          <a:srgbClr val="793905"/>
                        </a:solidFill>
                      </a:ln>
                      <a:effectLst>
                        <a:innerShdw blurRad="63500" dist="50800" dir="5400000">
                          <a:prstClr val="black">
                            <a:alpha val="50000"/>
                          </a:prstClr>
                        </a:innerShdw>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958B84"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5pt,6.45pt" to="465.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" strokecolor="#793905" strokeweight="3.75pt">
              <v:stroke linestyle="thickTh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631FE4"/>
    <w:multiLevelType w:val="multilevel"/>
    <w:tmpl w:val="2B1E726C"/>
    <w:styleLink w:val="List0"/>
    <w:lvl w:ilvl="0">
      <w:start w:val="1"/>
      <w:numFmt w:val="bullet"/>
      <w:lvlText w:val="•"/>
      <w:lvlJc w:val="left"/>
      <w:pPr>
        <w:tabs>
          <w:tab w:val="num" w:pos="1515"/>
        </w:tabs>
        <w:ind w:left="1515" w:hanging="330"/>
      </w:pPr>
      <w:rPr>
        <w:rFonts w:ascii="Times New Roman" w:eastAsia="Times New Roman" w:hAnsi="Times New Roman" w:cs="Times New Roman"/>
        <w:position w:val="0"/>
        <w:sz w:val="28"/>
        <w:szCs w:val="28"/>
      </w:rPr>
    </w:lvl>
    <w:lvl w:ilvl="1">
      <w:start w:val="1"/>
      <w:numFmt w:val="bullet"/>
      <w:lvlText w:val="o"/>
      <w:lvlJc w:val="left"/>
      <w:pPr>
        <w:tabs>
          <w:tab w:val="num" w:pos="2320"/>
        </w:tabs>
        <w:ind w:left="2320" w:hanging="420"/>
      </w:pPr>
      <w:rPr>
        <w:rFonts w:ascii="Times New Roman" w:eastAsia="Times New Roman" w:hAnsi="Times New Roman" w:cs="Times New Roman"/>
        <w:position w:val="0"/>
        <w:sz w:val="28"/>
        <w:szCs w:val="28"/>
      </w:rPr>
    </w:lvl>
    <w:lvl w:ilvl="2">
      <w:start w:val="1"/>
      <w:numFmt w:val="bullet"/>
      <w:lvlText w:val="▪"/>
      <w:lvlJc w:val="left"/>
      <w:pPr>
        <w:tabs>
          <w:tab w:val="num" w:pos="3040"/>
        </w:tabs>
        <w:ind w:left="3040" w:hanging="420"/>
      </w:pPr>
      <w:rPr>
        <w:rFonts w:ascii="Times New Roman" w:eastAsia="Times New Roman" w:hAnsi="Times New Roman" w:cs="Times New Roman"/>
        <w:position w:val="0"/>
        <w:sz w:val="28"/>
        <w:szCs w:val="28"/>
      </w:rPr>
    </w:lvl>
    <w:lvl w:ilvl="3">
      <w:start w:val="1"/>
      <w:numFmt w:val="bullet"/>
      <w:lvlText w:val="•"/>
      <w:lvlJc w:val="left"/>
      <w:pPr>
        <w:tabs>
          <w:tab w:val="num" w:pos="3760"/>
        </w:tabs>
        <w:ind w:left="3760" w:hanging="420"/>
      </w:pPr>
      <w:rPr>
        <w:rFonts w:ascii="Times New Roman" w:eastAsia="Times New Roman" w:hAnsi="Times New Roman" w:cs="Times New Roman"/>
        <w:position w:val="0"/>
        <w:sz w:val="28"/>
        <w:szCs w:val="28"/>
      </w:rPr>
    </w:lvl>
    <w:lvl w:ilvl="4">
      <w:start w:val="1"/>
      <w:numFmt w:val="bullet"/>
      <w:lvlText w:val="o"/>
      <w:lvlJc w:val="left"/>
      <w:pPr>
        <w:tabs>
          <w:tab w:val="num" w:pos="4480"/>
        </w:tabs>
        <w:ind w:left="4480" w:hanging="420"/>
      </w:pPr>
      <w:rPr>
        <w:rFonts w:ascii="Times New Roman" w:eastAsia="Times New Roman" w:hAnsi="Times New Roman" w:cs="Times New Roman"/>
        <w:position w:val="0"/>
        <w:sz w:val="28"/>
        <w:szCs w:val="28"/>
      </w:rPr>
    </w:lvl>
    <w:lvl w:ilvl="5">
      <w:start w:val="1"/>
      <w:numFmt w:val="bullet"/>
      <w:lvlText w:val="▪"/>
      <w:lvlJc w:val="left"/>
      <w:pPr>
        <w:tabs>
          <w:tab w:val="num" w:pos="5200"/>
        </w:tabs>
        <w:ind w:left="5200" w:hanging="420"/>
      </w:pPr>
      <w:rPr>
        <w:rFonts w:ascii="Times New Roman" w:eastAsia="Times New Roman" w:hAnsi="Times New Roman" w:cs="Times New Roman"/>
        <w:position w:val="0"/>
        <w:sz w:val="28"/>
        <w:szCs w:val="28"/>
      </w:rPr>
    </w:lvl>
    <w:lvl w:ilvl="6">
      <w:start w:val="1"/>
      <w:numFmt w:val="bullet"/>
      <w:lvlText w:val="•"/>
      <w:lvlJc w:val="left"/>
      <w:pPr>
        <w:tabs>
          <w:tab w:val="num" w:pos="5920"/>
        </w:tabs>
        <w:ind w:left="5920" w:hanging="420"/>
      </w:pPr>
      <w:rPr>
        <w:rFonts w:ascii="Times New Roman" w:eastAsia="Times New Roman" w:hAnsi="Times New Roman" w:cs="Times New Roman"/>
        <w:position w:val="0"/>
        <w:sz w:val="28"/>
        <w:szCs w:val="28"/>
      </w:rPr>
    </w:lvl>
    <w:lvl w:ilvl="7">
      <w:start w:val="1"/>
      <w:numFmt w:val="bullet"/>
      <w:lvlText w:val="o"/>
      <w:lvlJc w:val="left"/>
      <w:pPr>
        <w:tabs>
          <w:tab w:val="num" w:pos="6640"/>
        </w:tabs>
        <w:ind w:left="6640" w:hanging="420"/>
      </w:pPr>
      <w:rPr>
        <w:rFonts w:ascii="Times New Roman" w:eastAsia="Times New Roman" w:hAnsi="Times New Roman" w:cs="Times New Roman"/>
        <w:position w:val="0"/>
        <w:sz w:val="28"/>
        <w:szCs w:val="28"/>
      </w:rPr>
    </w:lvl>
    <w:lvl w:ilvl="8">
      <w:start w:val="1"/>
      <w:numFmt w:val="bullet"/>
      <w:lvlText w:val="▪"/>
      <w:lvlJc w:val="left"/>
      <w:pPr>
        <w:tabs>
          <w:tab w:val="num" w:pos="7360"/>
        </w:tabs>
        <w:ind w:left="7360" w:hanging="420"/>
      </w:pPr>
      <w:rPr>
        <w:rFonts w:ascii="Times New Roman" w:eastAsia="Times New Roman" w:hAnsi="Times New Roman" w:cs="Times New Roman"/>
        <w:position w:val="0"/>
        <w:sz w:val="28"/>
        <w:szCs w:val="28"/>
      </w:rPr>
    </w:lvl>
  </w:abstractNum>
  <w:abstractNum w:abstractNumId="1" w15:restartNumberingAfterBreak="0">
    <w:nsid w:val="165E4083"/>
    <w:multiLevelType w:val="multilevel"/>
    <w:tmpl w:val="3056D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FB4AED"/>
    <w:multiLevelType w:val="hybridMultilevel"/>
    <w:tmpl w:val="C30ADF4C"/>
    <w:lvl w:ilvl="0" w:tplc="6A7EC2CC">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15:restartNumberingAfterBreak="0">
    <w:nsid w:val="20A75FF1"/>
    <w:multiLevelType w:val="multilevel"/>
    <w:tmpl w:val="C98A3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1B48AA"/>
    <w:multiLevelType w:val="multilevel"/>
    <w:tmpl w:val="D3FAD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452856"/>
    <w:multiLevelType w:val="multilevel"/>
    <w:tmpl w:val="9C667B58"/>
    <w:lvl w:ilvl="0">
      <w:start w:val="1"/>
      <w:numFmt w:val="bullet"/>
      <w:lvlText w:val=""/>
      <w:lvlJc w:val="left"/>
      <w:pPr>
        <w:tabs>
          <w:tab w:val="num" w:pos="720"/>
        </w:tabs>
        <w:ind w:left="720" w:hanging="360"/>
      </w:pPr>
      <w:rPr>
        <w:rFonts w:ascii="Symbol" w:hAnsi="Symbol" w:hint="default"/>
        <w:sz w:val="20"/>
      </w:rPr>
    </w:lvl>
    <w:lvl w:ilvl="1">
      <w:start w:val="2"/>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58272042"/>
    <w:multiLevelType w:val="multilevel"/>
    <w:tmpl w:val="5F28D88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593F7C3A"/>
    <w:multiLevelType w:val="multilevel"/>
    <w:tmpl w:val="3E128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B94118"/>
    <w:multiLevelType w:val="hybridMultilevel"/>
    <w:tmpl w:val="5E5C70F4"/>
    <w:lvl w:ilvl="0" w:tplc="6F4C334C">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8808DD"/>
    <w:multiLevelType w:val="hybridMultilevel"/>
    <w:tmpl w:val="4B64CB20"/>
    <w:lvl w:ilvl="0" w:tplc="8FC0250A">
      <w:start w:val="1"/>
      <w:numFmt w:val="bullet"/>
      <w:lvlText w:val=""/>
      <w:lvlJc w:val="left"/>
      <w:pPr>
        <w:ind w:left="720" w:hanging="360"/>
      </w:pPr>
      <w:rPr>
        <w:rFonts w:ascii="Symbol" w:hAnsi="Symbol" w:hint="default"/>
      </w:rPr>
    </w:lvl>
    <w:lvl w:ilvl="1" w:tplc="10090019">
      <w:start w:val="1"/>
      <w:numFmt w:val="decimal"/>
      <w:lvlText w:val="%2."/>
      <w:lvlJc w:val="left"/>
      <w:pPr>
        <w:tabs>
          <w:tab w:val="num" w:pos="1440"/>
        </w:tabs>
        <w:ind w:left="1440" w:hanging="360"/>
      </w:pPr>
    </w:lvl>
    <w:lvl w:ilvl="2" w:tplc="1009001B">
      <w:start w:val="1"/>
      <w:numFmt w:val="decimal"/>
      <w:lvlText w:val="%3."/>
      <w:lvlJc w:val="left"/>
      <w:pPr>
        <w:tabs>
          <w:tab w:val="num" w:pos="2160"/>
        </w:tabs>
        <w:ind w:left="2160" w:hanging="360"/>
      </w:pPr>
    </w:lvl>
    <w:lvl w:ilvl="3" w:tplc="1009000F">
      <w:start w:val="1"/>
      <w:numFmt w:val="decimal"/>
      <w:lvlText w:val="%4."/>
      <w:lvlJc w:val="left"/>
      <w:pPr>
        <w:tabs>
          <w:tab w:val="num" w:pos="2880"/>
        </w:tabs>
        <w:ind w:left="2880" w:hanging="360"/>
      </w:pPr>
    </w:lvl>
    <w:lvl w:ilvl="4" w:tplc="10090019">
      <w:start w:val="1"/>
      <w:numFmt w:val="decimal"/>
      <w:lvlText w:val="%5."/>
      <w:lvlJc w:val="left"/>
      <w:pPr>
        <w:tabs>
          <w:tab w:val="num" w:pos="3600"/>
        </w:tabs>
        <w:ind w:left="3600" w:hanging="360"/>
      </w:pPr>
    </w:lvl>
    <w:lvl w:ilvl="5" w:tplc="1009001B">
      <w:start w:val="1"/>
      <w:numFmt w:val="decimal"/>
      <w:lvlText w:val="%6."/>
      <w:lvlJc w:val="left"/>
      <w:pPr>
        <w:tabs>
          <w:tab w:val="num" w:pos="4320"/>
        </w:tabs>
        <w:ind w:left="4320" w:hanging="360"/>
      </w:pPr>
    </w:lvl>
    <w:lvl w:ilvl="6" w:tplc="1009000F">
      <w:start w:val="1"/>
      <w:numFmt w:val="decimal"/>
      <w:lvlText w:val="%7."/>
      <w:lvlJc w:val="left"/>
      <w:pPr>
        <w:tabs>
          <w:tab w:val="num" w:pos="5040"/>
        </w:tabs>
        <w:ind w:left="5040" w:hanging="360"/>
      </w:pPr>
    </w:lvl>
    <w:lvl w:ilvl="7" w:tplc="10090019">
      <w:start w:val="1"/>
      <w:numFmt w:val="decimal"/>
      <w:lvlText w:val="%8."/>
      <w:lvlJc w:val="left"/>
      <w:pPr>
        <w:tabs>
          <w:tab w:val="num" w:pos="5760"/>
        </w:tabs>
        <w:ind w:left="5760" w:hanging="360"/>
      </w:pPr>
    </w:lvl>
    <w:lvl w:ilvl="8" w:tplc="1009001B">
      <w:start w:val="1"/>
      <w:numFmt w:val="decimal"/>
      <w:lvlText w:val="%9."/>
      <w:lvlJc w:val="left"/>
      <w:pPr>
        <w:tabs>
          <w:tab w:val="num" w:pos="6480"/>
        </w:tabs>
        <w:ind w:left="6480" w:hanging="360"/>
      </w:pPr>
    </w:lvl>
  </w:abstractNum>
  <w:num w:numId="1">
    <w:abstractNumId w:val="6"/>
  </w:num>
  <w:num w:numId="2">
    <w:abstractNumId w:val="7"/>
  </w:num>
  <w:num w:numId="3">
    <w:abstractNumId w:val="0"/>
  </w:num>
  <w:num w:numId="4">
    <w:abstractNumId w:val="10"/>
  </w:num>
  <w:num w:numId="5">
    <w:abstractNumId w:val="8"/>
  </w:num>
  <w:num w:numId="6">
    <w:abstractNumId w:val="3"/>
  </w:num>
  <w:num w:numId="7">
    <w:abstractNumId w:val="5"/>
  </w:num>
  <w:num w:numId="8">
    <w:abstractNumId w:val="1"/>
  </w:num>
  <w:num w:numId="9">
    <w:abstractNumId w:val="4"/>
  </w:num>
  <w:num w:numId="10">
    <w:abstractNumId w:val="9"/>
  </w:num>
  <w:num w:numId="11">
    <w:abstractNumId w:val="2"/>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B2F"/>
    <w:rsid w:val="000142DA"/>
    <w:rsid w:val="000164B6"/>
    <w:rsid w:val="00016A01"/>
    <w:rsid w:val="0006543A"/>
    <w:rsid w:val="00123122"/>
    <w:rsid w:val="00190E16"/>
    <w:rsid w:val="001A6C29"/>
    <w:rsid w:val="001B2B72"/>
    <w:rsid w:val="001D3EA5"/>
    <w:rsid w:val="00225472"/>
    <w:rsid w:val="00247254"/>
    <w:rsid w:val="00260703"/>
    <w:rsid w:val="00332CC6"/>
    <w:rsid w:val="0034199A"/>
    <w:rsid w:val="00421732"/>
    <w:rsid w:val="004727F3"/>
    <w:rsid w:val="00522459"/>
    <w:rsid w:val="005A3381"/>
    <w:rsid w:val="005E3009"/>
    <w:rsid w:val="00687A46"/>
    <w:rsid w:val="006F52DA"/>
    <w:rsid w:val="00754619"/>
    <w:rsid w:val="00782C17"/>
    <w:rsid w:val="007A17B4"/>
    <w:rsid w:val="007E7322"/>
    <w:rsid w:val="0086484F"/>
    <w:rsid w:val="00950A18"/>
    <w:rsid w:val="009766C7"/>
    <w:rsid w:val="009B7D36"/>
    <w:rsid w:val="009F6B26"/>
    <w:rsid w:val="00A069E9"/>
    <w:rsid w:val="00B76EBF"/>
    <w:rsid w:val="00BB4AB1"/>
    <w:rsid w:val="00C1582C"/>
    <w:rsid w:val="00C5185B"/>
    <w:rsid w:val="00CB4A30"/>
    <w:rsid w:val="00D43864"/>
    <w:rsid w:val="00D9758B"/>
    <w:rsid w:val="00DB5E1D"/>
    <w:rsid w:val="00E071BA"/>
    <w:rsid w:val="00E755D5"/>
    <w:rsid w:val="00E86B2F"/>
    <w:rsid w:val="00EE21C4"/>
    <w:rsid w:val="00EF3758"/>
    <w:rsid w:val="00F8295D"/>
    <w:rsid w:val="00F86A15"/>
    <w:rsid w:val="00F95DD9"/>
    <w:rsid w:val="00FB4959"/>
    <w:rsid w:val="00FE59AC"/>
    <w:rsid w:val="00FF4C6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342B74"/>
  <w15:docId w15:val="{90A8372B-167F-4EB8-AAC1-9DFC0B597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pPr>
      <w:spacing w:after="200" w:line="276" w:lineRule="auto"/>
    </w:pPr>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A3381"/>
    <w:rPr>
      <w:rFonts w:ascii="Tahoma" w:hAnsi="Tahoma" w:cs="Tahoma"/>
      <w:sz w:val="16"/>
      <w:szCs w:val="16"/>
    </w:rPr>
  </w:style>
  <w:style w:type="paragraph" w:customStyle="1" w:styleId="Normal1">
    <w:name w:val="Normal1"/>
    <w:rsid w:val="0086484F"/>
    <w:pPr>
      <w:widowControl w:val="0"/>
      <w:spacing w:after="200" w:line="276" w:lineRule="auto"/>
    </w:pPr>
    <w:rPr>
      <w:rFonts w:cs="Calibri"/>
      <w:color w:val="000000"/>
      <w:sz w:val="22"/>
      <w:szCs w:val="22"/>
      <w:lang w:val="en-CA" w:eastAsia="en-CA"/>
    </w:rPr>
  </w:style>
  <w:style w:type="paragraph" w:customStyle="1" w:styleId="Body">
    <w:name w:val="Body"/>
    <w:rsid w:val="00FF4C63"/>
    <w:pPr>
      <w:pBdr>
        <w:top w:val="nil"/>
        <w:left w:val="nil"/>
        <w:bottom w:val="nil"/>
        <w:right w:val="nil"/>
        <w:between w:val="nil"/>
        <w:bar w:val="nil"/>
      </w:pBdr>
      <w:spacing w:after="200" w:line="276" w:lineRule="auto"/>
    </w:pPr>
    <w:rPr>
      <w:rFonts w:cs="Calibri"/>
      <w:color w:val="000000"/>
      <w:sz w:val="22"/>
      <w:szCs w:val="22"/>
      <w:u w:color="000000"/>
      <w:bdr w:val="nil"/>
    </w:rPr>
  </w:style>
  <w:style w:type="numbering" w:customStyle="1" w:styleId="List0">
    <w:name w:val="List 0"/>
    <w:basedOn w:val="NoList"/>
    <w:rsid w:val="00FF4C63"/>
    <w:pPr>
      <w:numPr>
        <w:numId w:val="3"/>
      </w:numPr>
    </w:pPr>
  </w:style>
  <w:style w:type="character" w:customStyle="1" w:styleId="Hyperlink0">
    <w:name w:val="Hyperlink.0"/>
    <w:rsid w:val="00FF4C63"/>
  </w:style>
  <w:style w:type="paragraph" w:styleId="NormalWeb">
    <w:name w:val="Normal (Web)"/>
    <w:rsid w:val="00FF4C63"/>
    <w:pPr>
      <w:pBdr>
        <w:top w:val="nil"/>
        <w:left w:val="nil"/>
        <w:bottom w:val="nil"/>
        <w:right w:val="nil"/>
        <w:between w:val="nil"/>
        <w:bar w:val="nil"/>
      </w:pBdr>
      <w:spacing w:after="100"/>
    </w:pPr>
    <w:rPr>
      <w:rFonts w:ascii="Times New Roman" w:eastAsia="Times New Roman" w:hAnsi="Times New Roman"/>
      <w:color w:val="000000"/>
      <w:sz w:val="24"/>
      <w:szCs w:val="24"/>
      <w:u w:color="000000"/>
      <w:bdr w:val="nil"/>
    </w:rPr>
  </w:style>
  <w:style w:type="character" w:styleId="Hyperlink">
    <w:name w:val="Hyperlink"/>
    <w:uiPriority w:val="99"/>
    <w:unhideWhenUsed/>
    <w:rsid w:val="00FF4C63"/>
    <w:rPr>
      <w:color w:val="0000FF"/>
      <w:u w:val="single"/>
    </w:rPr>
  </w:style>
  <w:style w:type="paragraph" w:styleId="ListParagraph">
    <w:name w:val="List Paragraph"/>
    <w:basedOn w:val="Normal"/>
    <w:uiPriority w:val="34"/>
    <w:qFormat/>
    <w:rsid w:val="00E071BA"/>
    <w:pPr>
      <w:ind w:left="720"/>
      <w:contextualSpacing/>
    </w:pPr>
  </w:style>
  <w:style w:type="character" w:styleId="UnresolvedMention">
    <w:name w:val="Unresolved Mention"/>
    <w:basedOn w:val="DefaultParagraphFont"/>
    <w:uiPriority w:val="99"/>
    <w:semiHidden/>
    <w:unhideWhenUsed/>
    <w:rsid w:val="000142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685</Words>
  <Characters>3907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 Axford</cp:lastModifiedBy>
  <cp:revision>2</cp:revision>
  <cp:lastPrinted>2020-03-28T23:41:00Z</cp:lastPrinted>
  <dcterms:created xsi:type="dcterms:W3CDTF">2020-09-17T20:08:00Z</dcterms:created>
  <dcterms:modified xsi:type="dcterms:W3CDTF">2020-09-17T20:08:00Z</dcterms:modified>
</cp:coreProperties>
</file>