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67779E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951414" w:rsidRDefault="00951414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951414" w:rsidRDefault="00951414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wpc="http://schemas.microsoft.com/office/word/2010/wordprocessingCanvas" xmlns:mo="http://schemas.microsoft.com/office/mac/office/2008/main" xmlns:mc="http://schemas.openxmlformats.org/markup-compatibility/2006" xmlns:mv="urn:schemas-microsoft-com:mac:vml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51414" w:rsidRPr="00E05386" w:rsidRDefault="00951414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Pr="006A1AA0" w:rsidRDefault="0067779E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n-CA"/>
        </w:rPr>
        <w:pict>
          <v:group id="_x0000_s1058" style="position:absolute;left:0;text-align:left;margin-left:0;margin-top:2.45pt;width:469.35pt;height:75.95pt;z-index:251685888" coordorigin="1800,4889" coordsize="9387,1807">
            <v:rect id="Rectangle 2" o:spid="_x0000_s1027" style="position:absolute;left:1800;top:4889;width:9387;height: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2" inset="0,0,0,0">
                <w:txbxContent>
                  <w:p w:rsidR="00951414" w:rsidRDefault="00951414" w:rsidP="00783D4A">
                    <w:pPr>
                      <w:jc w:val="center"/>
                      <w:rPr>
                        <w:b/>
                        <w:sz w:val="24"/>
                        <w:szCs w:val="24"/>
                        <w:lang w:val="fr-CA"/>
                      </w:rPr>
                    </w:pPr>
                    <w:proofErr w:type="spellStart"/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>Wilmer</w:t>
                    </w:r>
                    <w:proofErr w:type="spellEnd"/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 xml:space="preserve"> Gold</w:t>
                    </w:r>
                  </w:p>
                  <w:p w:rsidR="00951414" w:rsidRPr="006A1AA0" w:rsidRDefault="00951414" w:rsidP="006A1AA0">
                    <w:pPr>
                      <w:rPr>
                        <w:lang w:val="fr-CA"/>
                      </w:rPr>
                    </w:pPr>
                  </w:p>
                </w:txbxContent>
              </v:textbox>
            </v:rect>
            <v:shape id="_x0000_s1057" type="#_x0000_t202" style="position:absolute;left:1800;top:5400;width:9360;height:1296" filled="f" stroked="f">
              <v:textbox style="mso-next-textbox:#_x0000_s1057">
                <w:txbxContent>
                  <w:p w:rsidR="00951414" w:rsidRPr="00A25287" w:rsidRDefault="00951414" w:rsidP="00291AED">
                    <w:pPr>
                      <w:pStyle w:val="Filmsummary"/>
                      <w:rPr>
                        <w:b w:val="0"/>
                      </w:rPr>
                    </w:pPr>
                    <w:r>
                      <w:t xml:space="preserve">Film Summary: </w:t>
                    </w:r>
                    <w:r w:rsidRPr="00A25287">
                      <w:rPr>
                        <w:b w:val="0"/>
                      </w:rPr>
                      <w:t>The images of talented logging and working life photographer Wilmer Gold provide a powerful record of the lives of Vancouver Island’s loggers and fallers. This film captures the challenges he faced in documenting their lives.</w:t>
                    </w:r>
                  </w:p>
                  <w:p w:rsidR="00951414" w:rsidRDefault="00951414" w:rsidP="00291AED">
                    <w:pPr>
                      <w:pStyle w:val="Filmsummary"/>
                    </w:pPr>
                  </w:p>
                </w:txbxContent>
              </v:textbox>
            </v:shape>
          </v:group>
        </w:pic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:rsidR="004527E2" w:rsidRDefault="004527E2" w:rsidP="00E05386"/>
    <w:p w:rsidR="006A1AA0" w:rsidRDefault="006A1AA0" w:rsidP="006011F0">
      <w:pPr>
        <w:pStyle w:val="Filmsummary"/>
      </w:pPr>
    </w:p>
    <w:p w:rsidR="0055755B" w:rsidRDefault="0055755B" w:rsidP="00E05386"/>
    <w:p w:rsidR="0055755B" w:rsidRPr="0055755B" w:rsidRDefault="0055755B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</w:p>
    <w:p w:rsidR="006A1AA0" w:rsidRDefault="0067779E" w:rsidP="00E05386">
      <w:r>
        <w:rPr>
          <w:noProof/>
          <w:lang w:eastAsia="en-CA"/>
        </w:rPr>
        <w:pict>
          <v:group id="_x0000_s1064" style="position:absolute;margin-left:0;margin-top:8.75pt;width:468pt;height:64.8pt;z-index:251692032" coordorigin="1800,6552" coordsize="9360,1149">
            <v:shape id="Text Box 28" o:spid="_x0000_s1061" type="#_x0000_t202" style="position:absolute;left:1800;top:6552;width:2572;height:112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pTG9YCAAACBgAADgAAAGRycy9lMm9Eb2MueG1srFRbT9swFH6ftP9g+b3kQlsgIkWhqNOkCtBg&#10;4tl17DbCt9luGzbtv+/YScplSJumvSS2z3du37mcX7RSoB2zrtGqxNlRihFTVNeNWpf46/1idIqR&#10;80TVRGjFSvzEHL6YffxwvjcFy/VGi5pZBEaUK/amxBvvTZEkjm6YJO5IG6ZAyLWVxMPVrpPakj1Y&#10;lyLJ03Sa7LWtjdWUOQevV50Qz6J9zhn1N5w75pEoMcTm49fG7yp8k9k5KdaWmE1D+zDIP0QhSaPA&#10;6cHUFfEEbW3zmynZUKud5v6IaplozhvKYg6QTZa+yeZuQwyLuQA5zhxocv/PLL3e3VrU1CXOoVKK&#10;SKjRPWs9utQtgifgZ29cAbA7A0DfwjvUOebqzFLTRweQ5AWmU3CADny03Mrwh0wRKEIJng60Bzc0&#10;WJseH+c5iCjITrLpWTYJfpNnbWOd/8S0ROFQYgtljRGQ3dL5DjpAgjOh4I0UYB/E/amrxo/55CSv&#10;TiZno2k1yUbjLD0dVVWaj64WVVql48X8bHz5E2xLko2LPfSFga4KhEDeC0HWfQ2C+O+KIAl91bJZ&#10;lsRm6aIGwzHRIdRIZMddoNT5J8G6jL4wDmUCtvKO+zAgbC4s2hFobUIpUz7raRMK0EGNN0IcFPui&#10;vVYUB6UeG+mKg3NQTP/skQ0a0atW/qAsG6XtewbqxyFc3uH7NupzDun7dtXG3hwPfbjS9RO0odXd&#10;IDtDFw20xJI4f0ssTC50EWwjfwMfLvS+xLo/YbTR9vt77wEPtQQpRqHiJXbftsQyjMRnBaN2PE3T&#10;sDriZTw9DRf7UrLqJNBZIFFbOddQkQz2nqHxGPBeDEdutXyApVUFryAiioLvEvvhOPfdfoKlR1lV&#10;RRAsC0P8Ut0ZOkxfaPj79oFY00+Fhya61sPOIMWb4eiwoT5KV1uveRMnJ/DcsdrzD4smtmS/FMMm&#10;e3mPqOfVPfsFAAD//wMAUEsDBBQABgAIAAAAIQBt+hBi2gAAAAYBAAAPAAAAZHJzL2Rvd25yZXYu&#10;eG1sTI/NToRAEITvJr7DpE28ucMSFUGGjfHnqEY08dowLRCZHsIMu+jT2570VOlUperrcre6Ue1p&#10;DoNnA9tNAoq49XbgzsDb68PZFagQkS2OnsnAFwXYVcdHJRbWH/iF9nXslJRwKNBAH+NUaB3anhyG&#10;jZ+Ixfvws8Mo59xpO+NByt2o0yS51A4HloUeJ7rtqf2sF2cgcHuXncfvp+4+f29qzY/Ls7fGnJ6s&#10;N9egIq3xLwy/+IIOlTA1fmEb1GhAHokGMhEx04ssBdVIapvnoKtS/8evfgAAAP//AwBQSwECLQAU&#10;AAYACAAAACEA5JnDwPsAAADhAQAAEwAAAAAAAAAAAAAAAAAAAAAAW0NvbnRlbnRfVHlwZXNdLnht&#10;bFBLAQItABQABgAIAAAAIQAjsmrh1wAAAJQBAAALAAAAAAAAAAAAAAAAACwBAABfcmVscy8ucmVs&#10;c1BLAQItABQABgAIAAAAIQB8GlMb1gIAAAIGAAAOAAAAAAAAAAAAAAAAACwCAABkcnMvZTJvRG9j&#10;LnhtbFBLAQItABQABgAIAAAAIQBt+hBi2gAAAAYBAAAPAAAAAAAAAAAAAAAAAC4FAABkcnMvZG93&#10;bnJldi54bWxQSwUGAAAAAAQABADzAAAANQYAAAAA&#10;" fillcolor="white [3201]" strokecolor="#4f81bd [3204]" strokeweight="2pt">
              <v:path arrowok="t"/>
              <v:textbox style="mso-next-textbox:#Text Box 28" inset="1mm,1.3mm,1mm">
                <w:txbxContent>
                  <w:p w:rsidR="00951414" w:rsidRPr="00C64BF6" w:rsidRDefault="00951414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Curriculum Application:</w:t>
                    </w:r>
                  </w:p>
                  <w:p w:rsidR="00951414" w:rsidRPr="00291AED" w:rsidRDefault="00951414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</w:rPr>
                    </w:pPr>
                    <w:r w:rsidRPr="00291AED">
                      <w:rPr>
                        <w:rFonts w:asciiTheme="majorHAnsi" w:hAnsiTheme="majorHAnsi"/>
                      </w:rPr>
                      <w:t xml:space="preserve">Social </w:t>
                    </w:r>
                    <w:r>
                      <w:rPr>
                        <w:rFonts w:asciiTheme="majorHAnsi" w:hAnsiTheme="majorHAnsi"/>
                      </w:rPr>
                      <w:t>Studies 11</w:t>
                    </w:r>
                  </w:p>
                </w:txbxContent>
              </v:textbox>
            </v:shape>
            <v:shape id="Text Box 32" o:spid="_x0000_s1062" type="#_x0000_t202" style="position:absolute;left:4680;top:6572;width:6480;height:1129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/1tMCAAACBgAADgAAAGRycy9lMm9Eb2MueG1srFRbT9swFH6ftP9g+b0k6VKgESkKRZ0mVQMN&#10;Jp5dx24jfJvttmHT/vuOnaQUhrRp2kti+3zn/p1zcdlKgXbMukarEmcnKUZMUV03al3ir/eL0TlG&#10;zhNVE6EVK/ETc/hy9v7dxd4UbKw3WtTMIjCiXLE3Jd54b4okcXTDJHEn2jAFQq6tJB6udp3UluzB&#10;uhTJOE1Pk722tbGaMufg9boT4lm0zzmj/oZzxzwSJYbYfPza+F2FbzK7IMXaErNpaB8G+YcoJGkU&#10;OD2YuiaeoK1tfjMlG2q109yfUC0TzXlDWcwBssnSV9ncbYhhMRcojjOHMrn/Z5Z+3t1a1NQl/jDG&#10;SBEJPbpnrUdXukXwBPXZG1cA7M4A0LfwDn2OuTqz1PTRASQ5wnQKDtChHi23MvwhUwSK0IKnQ9mD&#10;GwqPeZbl5ymIKMjOstNpNgl+k2dtY53/yLRE4VBiC22NEZDd0vkOOkCCM6HgjRRgH8T9qevGj/nk&#10;bFydTaaj02qSjfIsPR9VVToeXS+qtErzxXyaX/0E25JkebEHXhhgVSgI5L0QZN33IIj/rgmS0BeU&#10;zbIkkqWLGgzHRIdQYyG72oWSOv8kWJfRF8ahTVCtcVf7MCBsLizaEaA2oZQpn/VlEwrQQY03QhwU&#10;+6a9VBQHpR4byxUH56CY/tkjGzSiV638QVk2Stu3DNSPQ7i8w/c06nMO6ft21UZuRj6El5Wun4CG&#10;VneD7AxdNECJJXH+lliYXGARbCN/Ax8u9L7Euj9htNH2+1vvAQ+9BClGoeMldt+2xDKMxCcFozbN&#10;8jysjnjJgT9wsceS1bFEbeVcQ0cy2HuGxmPAezEcudXyAZZWFbyCiCgKvkvsh+Pcd/sJlh5lVRVB&#10;sCwM8Ut1Z+gwfYHw9+0DsaafCg8k+qyHnUGKV8PRYUN/lK62XvMmTs5zVfv6w6KJlOyXYthkx/eI&#10;el7ds18AAAD//wMAUEsDBBQABgAIAAAAIQAGy7o03wAAAAkBAAAPAAAAZHJzL2Rvd25yZXYueG1s&#10;TI9LT8MwEITvSPwHa5G4UactyqtxKlSJGw81INGjGy9JRLxOYrcN/57lBKfd1Yxmvym2s+3FGSff&#10;OVKwXEQgkGpnOmoUvL893qUgfNBkdO8IFXyjh215fVXo3LgL7fFchUZwCPlcK2hDGHIpfd2i1X7h&#10;BiTWPt1kdeBzaqSZ9IXDbS9XURRLqzviD60ecNdi/VWdrIKn1+Sj2j33fjysX+7jbhyxTmKlbm/m&#10;hw2IgHP4M8MvPqNDyUxHdyLjRa9glabcJShIeLCerWNejmxcZhnIspD/G5Q/AAAA//8DAFBLAQIt&#10;ABQABgAIAAAAIQDkmcPA+wAAAOEBAAATAAAAAAAAAAAAAAAAAAAAAABbQ29udGVudF9UeXBlc10u&#10;eG1sUEsBAi0AFAAGAAgAAAAhACOyauHXAAAAlAEAAAsAAAAAAAAAAAAAAAAALAEAAF9yZWxzLy5y&#10;ZWxzUEsBAi0AFAAGAAgAAAAhAG2lf9bTAgAAAgYAAA4AAAAAAAAAAAAAAAAALAIAAGRycy9lMm9E&#10;b2MueG1sUEsBAi0AFAAGAAgAAAAhAAbLujTfAAAACQEAAA8AAAAAAAAAAAAAAAAAKwUAAGRycy9k&#10;b3ducmV2LnhtbFBLBQYAAAAABAAEAPMAAAA3BgAAAAA=&#10;" fillcolor="white [3201]" strokecolor="#4f81bd [3204]" strokeweight="2pt">
              <v:path arrowok="t"/>
              <v:textbox style="mso-next-textbox:#Text Box 32">
                <w:txbxContent>
                  <w:p w:rsidR="00951414" w:rsidRPr="00C64BF6" w:rsidRDefault="00951414" w:rsidP="00A85F9B">
                    <w:pPr>
                      <w:pStyle w:val="Descriptions"/>
                      <w:spacing w:before="0"/>
                      <w:rPr>
                        <w:rFonts w:asciiTheme="majorHAnsi" w:hAnsiTheme="majorHAnsi"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The Essential Question:</w:t>
                    </w:r>
                    <w:r w:rsidRPr="00C64BF6">
                      <w:rPr>
                        <w:rFonts w:asciiTheme="majorHAnsi" w:hAnsiTheme="majorHAnsi"/>
                        <w:sz w:val="23"/>
                        <w:szCs w:val="23"/>
                      </w:rPr>
                      <w:t xml:space="preserve"> </w:t>
                    </w:r>
                    <w:r w:rsidR="00357F14">
                      <w:rPr>
                        <w:rFonts w:asciiTheme="majorHAnsi" w:hAnsiTheme="majorHAnsi"/>
                        <w:sz w:val="23"/>
                        <w:szCs w:val="23"/>
                      </w:rPr>
                      <w:t>How effective is photography in capturing moments of history; in particular the social/economic role of lumber and forest workers in British Columbian society?</w:t>
                    </w:r>
                  </w:p>
                  <w:p w:rsidR="00951414" w:rsidRPr="00E71505" w:rsidRDefault="00951414" w:rsidP="00A85F9B">
                    <w:pPr>
                      <w:pStyle w:val="Descriptions"/>
                      <w:spacing w:before="0"/>
                      <w:rPr>
                        <w:rFonts w:asciiTheme="minorHAnsi" w:hAnsiTheme="minorHAnsi"/>
                      </w:rPr>
                    </w:pPr>
                  </w:p>
                  <w:p w:rsidR="00951414" w:rsidRPr="00E71505" w:rsidRDefault="00951414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51414" w:rsidRPr="003A39D6" w:rsidRDefault="00951414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51414" w:rsidRPr="003A39D6" w:rsidRDefault="00951414" w:rsidP="00A85F9B">
                    <w:pPr>
                      <w:rPr>
                        <w:rFonts w:asciiTheme="majorHAnsi" w:hAnsiTheme="majorHAnsi"/>
                      </w:rPr>
                    </w:pPr>
                  </w:p>
                  <w:p w:rsidR="00951414" w:rsidRPr="003A39D6" w:rsidRDefault="00951414" w:rsidP="00A85F9B">
                    <w:pPr>
                      <w:rPr>
                        <w:rFonts w:asciiTheme="majorHAnsi" w:hAnsiTheme="majorHAnsi"/>
                      </w:rPr>
                    </w:pPr>
                    <w:r w:rsidRPr="003A39D6">
                      <w:rPr>
                        <w:rFonts w:asciiTheme="majorHAnsi" w:hAnsiTheme="majorHAnsi"/>
                      </w:rPr>
                      <w:t xml:space="preserve">What historical factors </w:t>
                    </w:r>
                  </w:p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67779E" w:rsidP="00E05386">
      <w:r>
        <w:rPr>
          <w:noProof/>
          <w:lang w:eastAsia="en-CA"/>
        </w:rPr>
        <w:pict>
          <v:group id="_x0000_s1065" style="position:absolute;margin-left:0;margin-top:.2pt;width:468pt;height:151.2pt;z-index:251695104" coordorigin="1800,7848" coordsize="9360,3168">
            <v:rect id="Rectangle 7" o:spid="_x0000_s1030" style="position:absolute;left:1800;top:7848;width:9360;height:432;visibility:visible;v-text-anchor:middle-center" o:regroupid="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7" inset="0,0,0,0">
                <w:txbxContent>
                  <w:p w:rsidR="00951414" w:rsidRPr="00804935" w:rsidRDefault="00951414" w:rsidP="00291AED">
                    <w:pPr>
                      <w:spacing w:before="40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Summary of the Lesson Activities</w:t>
                    </w:r>
                  </w:p>
                </w:txbxContent>
              </v:textbox>
            </v:rect>
            <v:shape id="_x0000_s1032" type="#_x0000_t202" style="position:absolute;left:1800;top:8424;width:9360;height:2592" o:regroupid="5" strokecolor="white [3212]">
              <v:textbox style="mso-next-textbox:#_x0000_s1032">
                <w:txbxContent>
                  <w:p w:rsidR="00951414" w:rsidRPr="00EF2AC8" w:rsidRDefault="00951414" w:rsidP="00113079">
                    <w:pPr>
                      <w:pStyle w:val="LessonActivities"/>
                      <w:spacing w:afterLines="80"/>
                      <w:rPr>
                        <w:sz w:val="24"/>
                        <w:szCs w:val="24"/>
                      </w:rPr>
                    </w:pPr>
                    <w:r w:rsidRPr="00EF2AC8">
                      <w:rPr>
                        <w:sz w:val="24"/>
                        <w:szCs w:val="24"/>
                      </w:rPr>
                      <w:t>Focus questions for the vignette provides a short lesson option. ( 15 Minutes )</w:t>
                    </w:r>
                  </w:p>
                  <w:p w:rsidR="00951414" w:rsidRPr="00EF2AC8" w:rsidRDefault="00951414" w:rsidP="00113079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Lines="80" w:line="240" w:lineRule="atLeast"/>
                      <w:ind w:left="432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</w:p>
                  <w:p w:rsidR="00951414" w:rsidRPr="00EF2AC8" w:rsidRDefault="00951414" w:rsidP="00113079">
                    <w:pPr>
                      <w:pStyle w:val="LessonActivities"/>
                      <w:spacing w:afterLines="80" w:line="240" w:lineRule="atLeast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EF2AC8">
                      <w:rPr>
                        <w:rFonts w:asciiTheme="majorHAnsi" w:hAnsiTheme="majorHAnsi"/>
                        <w:sz w:val="24"/>
                        <w:szCs w:val="24"/>
                      </w:rPr>
                      <w:t>Learning activity on the key vocabulary of the logging and lumber industry.</w:t>
                    </w:r>
                  </w:p>
                  <w:p w:rsidR="00951414" w:rsidRPr="00EF2AC8" w:rsidRDefault="00951414" w:rsidP="00113079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Lines="80" w:line="240" w:lineRule="atLeast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</w:p>
                  <w:p w:rsidR="00951414" w:rsidRPr="00EF2AC8" w:rsidRDefault="00951414" w:rsidP="00113079">
                    <w:pPr>
                      <w:pStyle w:val="LessonActivities"/>
                      <w:spacing w:afterLines="80" w:line="240" w:lineRule="atLeast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EF2AC8">
                      <w:rPr>
                        <w:rFonts w:asciiTheme="majorHAnsi" w:hAnsiTheme="majorHAnsi"/>
                        <w:sz w:val="24"/>
                        <w:szCs w:val="24"/>
                      </w:rPr>
                      <w:t>Small group activity that leads into a class discussion on the vignette.</w:t>
                    </w:r>
                  </w:p>
                  <w:p w:rsidR="00951414" w:rsidRPr="00EF2AC8" w:rsidRDefault="00951414" w:rsidP="00113079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Lines="80" w:line="240" w:lineRule="atLeast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</w:p>
                  <w:p w:rsidR="00951414" w:rsidRPr="00EF2AC8" w:rsidRDefault="00951414" w:rsidP="00113079">
                    <w:pPr>
                      <w:pStyle w:val="LessonActivities"/>
                      <w:spacing w:afterLines="80" w:line="240" w:lineRule="atLeast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EF2AC8">
                      <w:rPr>
                        <w:rFonts w:asciiTheme="majorHAnsi" w:hAnsiTheme="majorHAnsi"/>
                        <w:sz w:val="24"/>
                        <w:szCs w:val="24"/>
                      </w:rPr>
                      <w:t xml:space="preserve">Small group activity to explore and analyze photographs of the depression era Logging Industry in British </w:t>
                    </w:r>
                    <w:r w:rsidR="00F90ABA" w:rsidRPr="00EF2AC8">
                      <w:rPr>
                        <w:rFonts w:asciiTheme="majorHAnsi" w:hAnsiTheme="majorHAnsi"/>
                        <w:sz w:val="24"/>
                        <w:szCs w:val="24"/>
                      </w:rPr>
                      <w:t>Columbia.</w:t>
                    </w:r>
                  </w:p>
                  <w:p w:rsidR="00951414" w:rsidRPr="003D3825" w:rsidRDefault="00951414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:rsidR="00951414" w:rsidRPr="0055755B" w:rsidRDefault="00951414">
                    <w:pPr>
                      <w:rPr>
                        <w:lang w:val="en-US"/>
                      </w:rPr>
                    </w:pPr>
                  </w:p>
                  <w:p w:rsidR="00951414" w:rsidRDefault="00951414"/>
                  <w:p w:rsidR="00951414" w:rsidRDefault="00951414"/>
                  <w:p w:rsidR="00951414" w:rsidRDefault="00951414"/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67779E" w:rsidP="00E05386">
      <w:r>
        <w:rPr>
          <w:noProof/>
          <w:lang w:eastAsia="en-CA"/>
        </w:rPr>
        <w:pict>
          <v:shape id="Text Box 33" o:spid="_x0000_s1035" type="#_x0000_t202" style="position:absolute;margin-left:7.2pt;margin-top:3.7pt;width:468pt;height:21.6pt;z-index:251704320;visibility:visible;mso-width-relative:margin;mso-height-relative:margin" o:regroupid="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<v:fill color2="#e4ecf5" rotate="t" colors="0 #a3c4ff;22938f #bfd5ff;1 #e5eeff" type="gradient"/>
            <v:shadow on="t" opacity="24903f" origin=",.5" offset="0,.55556mm"/>
            <v:textbox style="mso-next-textbox:#Text Box 33">
              <w:txbxContent>
                <w:p w:rsidR="00951414" w:rsidRPr="00804935" w:rsidRDefault="00951414" w:rsidP="003D3825">
                  <w:pPr>
                    <w:pStyle w:val="SectionHeadings"/>
                    <w:spacing w:after="0"/>
                    <w:rPr>
                      <w:rFonts w:asciiTheme="minorHAnsi" w:hAnsiTheme="minorHAnsi"/>
                    </w:rPr>
                  </w:pPr>
                  <w:r w:rsidRPr="00804935">
                    <w:rPr>
                      <w:rFonts w:asciiTheme="minorHAnsi" w:hAnsiTheme="minorHAnsi"/>
                    </w:rPr>
                    <w:t>Learning Objectives</w:t>
                  </w:r>
                </w:p>
              </w:txbxContent>
            </v:textbox>
          </v:shape>
        </w:pict>
      </w:r>
    </w:p>
    <w:p w:rsidR="0055755B" w:rsidRDefault="0055755B" w:rsidP="00E05386"/>
    <w:p w:rsidR="004527E2" w:rsidRDefault="0067779E" w:rsidP="00E05386">
      <w:r>
        <w:rPr>
          <w:noProof/>
          <w:lang w:eastAsia="en-CA"/>
        </w:rPr>
        <w:pict>
          <v:shape id="_x0000_s1037" type="#_x0000_t202" style="position:absolute;margin-left:7.2pt;margin-top:3.5pt;width:468pt;height:153.35pt;z-index:251703296" o:regroupid="5" strokecolor="white [3212]">
            <v:textbox>
              <w:txbxContent>
                <w:p w:rsidR="00951414" w:rsidRPr="00EF2AC8" w:rsidRDefault="00951414" w:rsidP="00A25287">
                  <w:pPr>
                    <w:pStyle w:val="LearningObjectives"/>
                    <w:rPr>
                      <w:sz w:val="24"/>
                      <w:szCs w:val="24"/>
                    </w:rPr>
                  </w:pPr>
                  <w:r w:rsidRPr="00EF2AC8">
                    <w:rPr>
                      <w:sz w:val="24"/>
                      <w:szCs w:val="24"/>
                    </w:rPr>
                    <w:t>To examine the portrayals of ordinary working peoples in British Columbia’s coastal logging industry and to explore aspects of their work and camp lives.</w:t>
                  </w:r>
                </w:p>
                <w:p w:rsidR="00951414" w:rsidRPr="00EF2AC8" w:rsidRDefault="00951414" w:rsidP="00A25287">
                  <w:pPr>
                    <w:pStyle w:val="LearningObjectives"/>
                    <w:numPr>
                      <w:ilvl w:val="0"/>
                      <w:numId w:val="0"/>
                    </w:numPr>
                    <w:ind w:left="504"/>
                    <w:rPr>
                      <w:sz w:val="24"/>
                      <w:szCs w:val="24"/>
                    </w:rPr>
                  </w:pPr>
                </w:p>
                <w:p w:rsidR="00951414" w:rsidRPr="00EF2AC8" w:rsidRDefault="00951414" w:rsidP="00A25287">
                  <w:pPr>
                    <w:pStyle w:val="LearningObjectives"/>
                    <w:rPr>
                      <w:sz w:val="24"/>
                      <w:szCs w:val="24"/>
                    </w:rPr>
                  </w:pPr>
                  <w:r w:rsidRPr="00EF2AC8">
                    <w:rPr>
                      <w:sz w:val="24"/>
                      <w:szCs w:val="24"/>
                    </w:rPr>
                    <w:t>To explore the community and social meanings of these portrayals.</w:t>
                  </w:r>
                </w:p>
                <w:p w:rsidR="00951414" w:rsidRPr="00EF2AC8" w:rsidRDefault="00951414" w:rsidP="00A25287">
                  <w:pPr>
                    <w:pStyle w:val="LearningObjectives"/>
                    <w:numPr>
                      <w:ilvl w:val="0"/>
                      <w:numId w:val="0"/>
                    </w:numPr>
                    <w:ind w:left="504"/>
                    <w:rPr>
                      <w:sz w:val="24"/>
                      <w:szCs w:val="24"/>
                    </w:rPr>
                  </w:pPr>
                </w:p>
                <w:p w:rsidR="00951414" w:rsidRPr="00EF2AC8" w:rsidRDefault="00951414" w:rsidP="00A25287">
                  <w:pPr>
                    <w:pStyle w:val="LearningObjectives"/>
                    <w:rPr>
                      <w:sz w:val="24"/>
                      <w:szCs w:val="24"/>
                    </w:rPr>
                  </w:pPr>
                  <w:r w:rsidRPr="00EF2AC8">
                    <w:rPr>
                      <w:sz w:val="24"/>
                      <w:szCs w:val="24"/>
                    </w:rPr>
                    <w:t>To examine the nature of working lives as defined by, and captured within, the photographs of Wilmer Gold.</w:t>
                  </w:r>
                </w:p>
                <w:p w:rsidR="00951414" w:rsidRPr="00EF2AC8" w:rsidRDefault="00951414" w:rsidP="00A25287">
                  <w:pPr>
                    <w:pStyle w:val="LearningObjectives"/>
                    <w:numPr>
                      <w:ilvl w:val="0"/>
                      <w:numId w:val="0"/>
                    </w:numPr>
                    <w:ind w:left="504"/>
                    <w:rPr>
                      <w:sz w:val="24"/>
                      <w:szCs w:val="24"/>
                    </w:rPr>
                  </w:pPr>
                </w:p>
                <w:p w:rsidR="00951414" w:rsidRPr="00EF2AC8" w:rsidRDefault="00951414" w:rsidP="00A25287">
                  <w:pPr>
                    <w:pStyle w:val="LearningObjectives"/>
                    <w:rPr>
                      <w:sz w:val="24"/>
                      <w:szCs w:val="24"/>
                    </w:rPr>
                  </w:pPr>
                  <w:r w:rsidRPr="00EF2AC8">
                    <w:rPr>
                      <w:sz w:val="24"/>
                      <w:szCs w:val="24"/>
                    </w:rPr>
                    <w:t>To examine the working life of photographer Wilmer Gold, and the challenges he faced alongside the loggers he photographed.</w:t>
                  </w:r>
                </w:p>
                <w:p w:rsidR="00951414" w:rsidRPr="00291AED" w:rsidRDefault="00951414"/>
              </w:txbxContent>
            </v:textbox>
          </v:shape>
        </w:pict>
      </w:r>
    </w:p>
    <w:p w:rsidR="008A5F2E" w:rsidRDefault="008A5F2E" w:rsidP="00E05386"/>
    <w:p w:rsidR="004527E2" w:rsidRDefault="004527E2" w:rsidP="00E05386"/>
    <w:p w:rsidR="008A5F2E" w:rsidRDefault="008A5F2E" w:rsidP="00E05386"/>
    <w:p w:rsidR="008A5F2E" w:rsidRDefault="008A5F2E" w:rsidP="00E05386"/>
    <w:p w:rsidR="008A5F2E" w:rsidRDefault="008A5F2E" w:rsidP="00E05386"/>
    <w:p w:rsidR="00291AED" w:rsidRDefault="00291AED">
      <w:pPr>
        <w:spacing w:after="200" w:line="276" w:lineRule="auto"/>
      </w:pPr>
      <w:r>
        <w:br w:type="page"/>
      </w:r>
    </w:p>
    <w:p w:rsidR="008A5F2E" w:rsidRDefault="0067779E" w:rsidP="00E05386">
      <w:r>
        <w:rPr>
          <w:noProof/>
          <w:lang w:eastAsia="en-CA"/>
        </w:rPr>
        <w:lastRenderedPageBreak/>
        <w:pict>
          <v:group id="_x0000_s1051" style="position:absolute;margin-left:0;margin-top:0;width:468pt;height:201.6pt;z-index:251668480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:rsidR="00951414" w:rsidRPr="00804935" w:rsidRDefault="00951414" w:rsidP="007B251C">
                    <w:pPr>
                      <w:jc w:val="center"/>
                      <w:rPr>
                        <w:b/>
                      </w:rPr>
                    </w:pPr>
                    <w:r w:rsidRPr="00804935">
                      <w:rPr>
                        <w:b/>
                      </w:rPr>
                      <w:t xml:space="preserve">Materials and Resources </w:t>
                    </w:r>
                    <w:r>
                      <w:rPr>
                        <w:b/>
                      </w:rPr>
                      <w:t>Provided</w:t>
                    </w:r>
                  </w:p>
                  <w:p w:rsidR="00951414" w:rsidRPr="006D70BC" w:rsidRDefault="00951414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951414" w:rsidRPr="00267D63" w:rsidRDefault="0067779E" w:rsidP="005E38D3">
                    <w:pPr>
                      <w:pStyle w:val="ListParagraph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40"/>
                      <w:ind w:left="720" w:right="245" w:hanging="432"/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</w:pPr>
                    <w:r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fldChar w:fldCharType="begin"/>
                    </w:r>
                    <w:r w:rsidR="00951414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instrText>HYPERLINK "https://cdnapisec.kaltura.com/index.php/extwidget/preview/partner_id/1454421/uiconf_id/26824312/entry_id/0_b6huixwk/embed/dynamic"</w:instrText>
                    </w:r>
                    <w:r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fldChar w:fldCharType="separate"/>
                    </w:r>
                    <w:r w:rsidR="00951414"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“</w:t>
                    </w:r>
                    <w:r w:rsidR="00951414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Wilmer Gold</w:t>
                    </w:r>
                    <w:r w:rsidR="00951414"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” Episode 2-</w:t>
                    </w:r>
                  </w:p>
                  <w:p w:rsidR="00951414" w:rsidRPr="00267D63" w:rsidRDefault="00951414" w:rsidP="005E38D3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</w:pPr>
                    <w:r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Working People – A History of</w:t>
                    </w:r>
                  </w:p>
                  <w:p w:rsidR="00951414" w:rsidRPr="00267D63" w:rsidRDefault="00951414" w:rsidP="005E38D3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</w:pPr>
                    <w:r w:rsidRPr="00267D63">
                      <w:rPr>
                        <w:rStyle w:val="Hyperlink"/>
                        <w:rFonts w:ascii="Cambria" w:hAnsi="Cambria" w:cs="Cambria"/>
                        <w:sz w:val="20"/>
                        <w:szCs w:val="20"/>
                      </w:rPr>
                      <w:t>Labour in British Columbia</w:t>
                    </w:r>
                    <w:r w:rsidR="0067779E" w:rsidRPr="00267D63"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  <w:fldChar w:fldCharType="end"/>
                    </w:r>
                  </w:p>
                  <w:p w:rsidR="00951414" w:rsidRPr="00267D63" w:rsidRDefault="00951414" w:rsidP="005E38D3">
                    <w:pPr>
                      <w:pStyle w:val="materialsandresourcesneeded"/>
                    </w:pPr>
                    <w:r w:rsidRPr="00267D63">
                      <w:t xml:space="preserve">Lesson Activity </w:t>
                    </w:r>
                    <w:r w:rsidR="007421BB">
                      <w:t>1</w:t>
                    </w:r>
                    <w:r w:rsidRPr="00267D63">
                      <w:t xml:space="preserve">: </w:t>
                    </w:r>
                    <w:r>
                      <w:t>Discussion Questions</w:t>
                    </w:r>
                  </w:p>
                  <w:p w:rsidR="00951414" w:rsidRDefault="00951414" w:rsidP="005E38D3">
                    <w:pPr>
                      <w:pStyle w:val="materialsandresourcesneeded"/>
                    </w:pPr>
                    <w:r w:rsidRPr="00267D63">
                      <w:t xml:space="preserve">Appendix 1: </w:t>
                    </w:r>
                    <w:r>
                      <w:t>Wilmer Gold Biography</w:t>
                    </w:r>
                  </w:p>
                  <w:p w:rsidR="00951414" w:rsidRDefault="00951414" w:rsidP="0073629E">
                    <w:pPr>
                      <w:pStyle w:val="materialsandresourcesneeded"/>
                    </w:pPr>
                    <w:r>
                      <w:t>Extension Activity 1-Photograpghic Analysis</w:t>
                    </w:r>
                  </w:p>
                  <w:p w:rsidR="00951414" w:rsidRDefault="00951414" w:rsidP="00A25287">
                    <w:pPr>
                      <w:pStyle w:val="materialsandresourcesneeded"/>
                      <w:numPr>
                        <w:ilvl w:val="0"/>
                        <w:numId w:val="0"/>
                      </w:numPr>
                      <w:ind w:left="720"/>
                    </w:pPr>
                  </w:p>
                  <w:p w:rsidR="00951414" w:rsidRPr="005E38D3" w:rsidRDefault="00951414" w:rsidP="008A5F2E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:rsidR="00951414" w:rsidRPr="00804935" w:rsidRDefault="00951414" w:rsidP="00FA128E">
                    <w:pPr>
                      <w:spacing w:after="80"/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Additional Suggested Materials</w:t>
                    </w:r>
                  </w:p>
                  <w:p w:rsidR="00951414" w:rsidRPr="00907B69" w:rsidRDefault="0067779E" w:rsidP="00612216">
                    <w:pPr>
                      <w:pStyle w:val="AdditionalSuggestedmaterials"/>
                    </w:pPr>
                    <w:hyperlink r:id="rId8" w:history="1">
                      <w:r w:rsidR="00951414" w:rsidRPr="00907B69">
                        <w:rPr>
                          <w:rStyle w:val="Hyperlink"/>
                        </w:rPr>
                        <w:t>“These were the reasons….” Chapter 6  BC Lumber Workers Story</w:t>
                      </w:r>
                    </w:hyperlink>
                  </w:p>
                  <w:p w:rsidR="00951414" w:rsidRPr="00907B69" w:rsidRDefault="0067779E" w:rsidP="00612216">
                    <w:pPr>
                      <w:pStyle w:val="AdditionalSuggestedmaterials"/>
                    </w:pPr>
                    <w:hyperlink r:id="rId9" w:history="1">
                      <w:r w:rsidR="00951414" w:rsidRPr="00907B69">
                        <w:rPr>
                          <w:rStyle w:val="Hyperlink"/>
                        </w:rPr>
                        <w:t>Edge of the World: B.C.’s Early Years- Felling Giants</w:t>
                      </w:r>
                    </w:hyperlink>
                  </w:p>
                  <w:p w:rsidR="00951414" w:rsidRPr="00907B69" w:rsidRDefault="0067779E" w:rsidP="00612216">
                    <w:pPr>
                      <w:pStyle w:val="AdditionalSuggestedmaterials"/>
                    </w:pPr>
                    <w:hyperlink r:id="rId10" w:history="1">
                      <w:r w:rsidR="00951414" w:rsidRPr="00907B69">
                        <w:rPr>
                          <w:rStyle w:val="Hyperlink"/>
                        </w:rPr>
                        <w:t>“Ocean Falls” Episode 3- Working People- A History of Labour in British Columbia</w:t>
                      </w:r>
                    </w:hyperlink>
                  </w:p>
                  <w:p w:rsidR="00951414" w:rsidRDefault="0067779E" w:rsidP="00612216">
                    <w:pPr>
                      <w:pStyle w:val="AdditionalSuggestedmaterials"/>
                    </w:pPr>
                    <w:hyperlink r:id="rId11" w:history="1">
                      <w:r w:rsidR="00951414" w:rsidRPr="00907B69">
                        <w:rPr>
                          <w:rStyle w:val="Hyperlink"/>
                        </w:rPr>
                        <w:t>“Mayo Singh” Episode 2- Working People- A History of Labour in British Columbia</w:t>
                      </w:r>
                    </w:hyperlink>
                  </w:p>
                  <w:p w:rsidR="00FA128E" w:rsidRDefault="00FA128E" w:rsidP="00612216">
                    <w:pPr>
                      <w:pStyle w:val="AdditionalSuggestedmaterials"/>
                    </w:pPr>
                    <w:r>
                      <w:t xml:space="preserve">Check out the Ocean Falls and Mayo Singh Lesson plans on </w:t>
                    </w:r>
                    <w:hyperlink r:id="rId12" w:history="1">
                      <w:r w:rsidRPr="00FA128E">
                        <w:rPr>
                          <w:rStyle w:val="Hyperlink"/>
                        </w:rPr>
                        <w:t>Teach BC</w:t>
                      </w:r>
                    </w:hyperlink>
                  </w:p>
                  <w:p w:rsidR="00951414" w:rsidRPr="00612216" w:rsidRDefault="00951414" w:rsidP="0073629E">
                    <w:pPr>
                      <w:pStyle w:val="AdditionalSuggestedmaterials"/>
                      <w:numPr>
                        <w:ilvl w:val="0"/>
                        <w:numId w:val="0"/>
                      </w:numPr>
                      <w:ind w:left="720"/>
                      <w:rPr>
                        <w:sz w:val="21"/>
                        <w:szCs w:val="21"/>
                      </w:rPr>
                    </w:pPr>
                  </w:p>
                </w:txbxContent>
              </v:textbox>
            </v:shape>
          </v:group>
        </w:pict>
      </w:r>
    </w:p>
    <w:p w:rsidR="008A5F2E" w:rsidRDefault="008A5F2E" w:rsidP="00E05386"/>
    <w:p w:rsidR="008A5F2E" w:rsidRDefault="008A5F2E" w:rsidP="00E05386"/>
    <w:p w:rsidR="008A5F2E" w:rsidRDefault="008A5F2E" w:rsidP="00E05386"/>
    <w:p w:rsidR="004527E2" w:rsidRDefault="004527E2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7779E" w:rsidP="00E05386">
      <w:r>
        <w:rPr>
          <w:noProof/>
          <w:lang w:eastAsia="en-CA"/>
        </w:rPr>
        <w:pict>
          <v:group id="_x0000_s1067" style="position:absolute;margin-left:0;margin-top:74.5pt;width:468pt;height:173.95pt;z-index:251702272" coordorigin="1800,4680" coordsize="9360,3479">
            <v:shape id="Text Box 36" o:spid="_x0000_s1041" type="#_x0000_t202" style="position:absolute;left:1800;top:4680;width:9360;height:432;visibility:visible" o:regroupid="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:rsidR="00951414" w:rsidRPr="00804935" w:rsidRDefault="00951414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5256;width:9360;height:2903" o:regroupid="7" strokecolor="white [3212]">
              <v:textbox>
                <w:txbxContent>
                  <w:p w:rsidR="00951414" w:rsidRDefault="00951414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In which part of British Columbia did Wilmer Gold capture his images of life in the forestry industry?</w:t>
                    </w:r>
                  </w:p>
                  <w:p w:rsidR="00951414" w:rsidRDefault="00951414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economic crisis was occurring during the time Wilmer Gold was setting up his photography business?</w:t>
                    </w:r>
                  </w:p>
                  <w:p w:rsidR="00951414" w:rsidRDefault="00951414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Who were his primary customers? Who else did he sell his photographs to?</w:t>
                    </w:r>
                  </w:p>
                  <w:p w:rsidR="00951414" w:rsidRDefault="00951414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>What innovation did Wilmer Gold create to help him produce his photographs? Why would this be helpful to both Wilmer Gold and his customers?</w:t>
                    </w:r>
                  </w:p>
                  <w:p w:rsidR="00951414" w:rsidRPr="00804935" w:rsidRDefault="00951414" w:rsidP="006B378F">
                    <w:pPr>
                      <w:pStyle w:val="VignetteQuestions"/>
                      <w:spacing w:before="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>
                      <w:rPr>
                        <w:rFonts w:asciiTheme="majorHAnsi" w:hAnsiTheme="majorHAnsi"/>
                        <w:color w:val="auto"/>
                      </w:rPr>
                      <w:t xml:space="preserve"> Why do you think his photographs were popular in this time period? What did photography bring to the “story” of logging that words could not effectively match?</w:t>
                    </w:r>
                  </w:p>
                  <w:p w:rsidR="00951414" w:rsidRPr="008A5F2E" w:rsidRDefault="0095141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>
          <v:group id="_x0000_s1068" style="position:absolute;margin-left:0;margin-top:254.5pt;width:468pt;height:280.8pt;z-index:251699712" coordorigin="1800,8712" coordsize="9360,5760">
            <v:shape id="Text Box 37" o:spid="_x0000_s1043" type="#_x0000_t202" style="position:absolute;left:1800;top:8712;width:9360;height:395;visibility:visible" o:regroupid="6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:rsidR="00951414" w:rsidRPr="00804935" w:rsidRDefault="00951414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9144;width:9360;height:5328" o:regroupid="6" strokecolor="white [3212]">
              <v:textbox style="mso-next-textbox:#_x0000_s1044">
                <w:txbxContent>
                  <w:p w:rsidR="00951414" w:rsidRPr="0073629E" w:rsidRDefault="00951414" w:rsidP="0073629E">
                    <w:pPr>
                      <w:pStyle w:val="LessonActivities"/>
                      <w:numPr>
                        <w:ilvl w:val="0"/>
                        <w:numId w:val="16"/>
                      </w:numPr>
                      <w:rPr>
                        <w:rFonts w:asciiTheme="majorHAnsi" w:hAnsiTheme="majorHAnsi"/>
                        <w:u w:val="single"/>
                      </w:rPr>
                    </w:pPr>
                    <w:r w:rsidRPr="0073629E">
                      <w:rPr>
                        <w:rFonts w:asciiTheme="majorHAnsi" w:hAnsiTheme="majorHAnsi"/>
                      </w:rPr>
                      <w:t xml:space="preserve">Students </w:t>
                    </w:r>
                    <w:r>
                      <w:rPr>
                        <w:rFonts w:asciiTheme="majorHAnsi" w:hAnsiTheme="majorHAnsi"/>
                      </w:rPr>
                      <w:t xml:space="preserve">should </w:t>
                    </w:r>
                    <w:r w:rsidRPr="0073629E">
                      <w:rPr>
                        <w:rFonts w:asciiTheme="majorHAnsi" w:hAnsiTheme="majorHAnsi"/>
                      </w:rPr>
                      <w:t xml:space="preserve">have some previous teaching on the subject of working during the Great Depression, and the dangers of working in the woods. They </w:t>
                    </w:r>
                    <w:r w:rsidR="007421BB">
                      <w:rPr>
                        <w:rFonts w:asciiTheme="majorHAnsi" w:hAnsiTheme="majorHAnsi"/>
                      </w:rPr>
                      <w:t xml:space="preserve">should </w:t>
                    </w:r>
                    <w:r w:rsidR="007421BB" w:rsidRPr="0073629E">
                      <w:rPr>
                        <w:rFonts w:asciiTheme="majorHAnsi" w:hAnsiTheme="majorHAnsi"/>
                      </w:rPr>
                      <w:t>have</w:t>
                    </w:r>
                    <w:r w:rsidRPr="0073629E">
                      <w:rPr>
                        <w:rFonts w:asciiTheme="majorHAnsi" w:hAnsiTheme="majorHAnsi"/>
                      </w:rPr>
                      <w:t xml:space="preserve"> had some previous teaching about the extraction of lumber from the forests, including:</w:t>
                    </w:r>
                    <w:r w:rsidRPr="0073629E">
                      <w:rPr>
                        <w:rFonts w:asciiTheme="majorHAnsi" w:hAnsiTheme="majorHAnsi"/>
                        <w:u w:val="single"/>
                      </w:rPr>
                      <w:t xml:space="preserve"> </w:t>
                    </w:r>
                    <w:r w:rsidRPr="0073629E">
                      <w:rPr>
                        <w:rFonts w:asciiTheme="majorHAnsi" w:hAnsiTheme="majorHAnsi"/>
                      </w:rPr>
                      <w:t>Scouting – finding suitable trees &amp; valuable trees</w:t>
                    </w:r>
                    <w:r w:rsidR="00AB7954">
                      <w:rPr>
                        <w:rFonts w:asciiTheme="majorHAnsi" w:hAnsiTheme="majorHAnsi"/>
                      </w:rPr>
                      <w:t xml:space="preserve">, </w:t>
                    </w:r>
                    <w:r w:rsidRPr="0073629E">
                      <w:rPr>
                        <w:rFonts w:asciiTheme="majorHAnsi" w:hAnsiTheme="majorHAnsi"/>
                      </w:rPr>
                      <w:t>Scaling – climbing the tree (inspection &amp; preparation for felling)</w:t>
                    </w:r>
                    <w:r w:rsidRPr="00AB7954">
                      <w:rPr>
                        <w:rFonts w:asciiTheme="majorHAnsi" w:hAnsiTheme="majorHAnsi"/>
                      </w:rPr>
                      <w:t xml:space="preserve">, </w:t>
                    </w:r>
                    <w:r w:rsidRPr="0073629E">
                      <w:rPr>
                        <w:rFonts w:asciiTheme="majorHAnsi" w:hAnsiTheme="majorHAnsi"/>
                      </w:rPr>
                      <w:t>Topping – removing the unprofitable top of the tree</w:t>
                    </w:r>
                    <w:r w:rsidRPr="00AB7954">
                      <w:rPr>
                        <w:rFonts w:asciiTheme="majorHAnsi" w:hAnsiTheme="majorHAnsi"/>
                      </w:rPr>
                      <w:t xml:space="preserve">, </w:t>
                    </w:r>
                    <w:r w:rsidRPr="0073629E">
                      <w:rPr>
                        <w:rFonts w:asciiTheme="majorHAnsi" w:hAnsiTheme="majorHAnsi"/>
                      </w:rPr>
                      <w:t>Felling – sawing the tree down</w:t>
                    </w:r>
                    <w:r w:rsidRPr="00AB7954">
                      <w:rPr>
                        <w:rFonts w:asciiTheme="majorHAnsi" w:hAnsiTheme="majorHAnsi"/>
                      </w:rPr>
                      <w:t xml:space="preserve">, </w:t>
                    </w:r>
                    <w:r w:rsidRPr="0073629E">
                      <w:rPr>
                        <w:rFonts w:asciiTheme="majorHAnsi" w:hAnsiTheme="majorHAnsi"/>
                      </w:rPr>
                      <w:t>Skidding—chaining up, and pulling the trunk out to prepare delivery to the mill.</w:t>
                    </w:r>
                  </w:p>
                  <w:p w:rsidR="00951414" w:rsidRPr="0073629E" w:rsidRDefault="00951414" w:rsidP="0073629E">
                    <w:pPr>
                      <w:pStyle w:val="LessonActivities"/>
                      <w:numPr>
                        <w:ilvl w:val="0"/>
                        <w:numId w:val="16"/>
                      </w:numPr>
                      <w:spacing w:after="0"/>
                      <w:rPr>
                        <w:rFonts w:asciiTheme="majorHAnsi" w:hAnsiTheme="majorHAnsi"/>
                        <w:u w:val="single"/>
                      </w:rPr>
                    </w:pPr>
                    <w:r w:rsidRPr="0073629E">
                      <w:rPr>
                        <w:rFonts w:asciiTheme="majorHAnsi" w:eastAsia="Times New Roman" w:hAnsiTheme="majorHAnsi"/>
                      </w:rPr>
                      <w:t>Brainstorm a list of common themes, words, and images under headings such as:</w:t>
                    </w:r>
                  </w:p>
                  <w:p w:rsidR="00951414" w:rsidRPr="0073629E" w:rsidRDefault="00951414" w:rsidP="0073629E">
                    <w:pPr>
                      <w:pStyle w:val="normal0"/>
                      <w:numPr>
                        <w:ilvl w:val="1"/>
                        <w:numId w:val="16"/>
                      </w:numPr>
                      <w:spacing w:after="120"/>
                      <w:rPr>
                        <w:rFonts w:asciiTheme="majorHAnsi" w:hAnsiTheme="majorHAnsi"/>
                        <w:sz w:val="22"/>
                        <w:szCs w:val="22"/>
                      </w:rPr>
                    </w:pPr>
                    <w:r w:rsidRPr="0073629E">
                      <w:rPr>
                        <w:rFonts w:asciiTheme="majorHAnsi" w:hAnsiTheme="majorHAnsi"/>
                        <w:sz w:val="22"/>
                        <w:szCs w:val="22"/>
                      </w:rPr>
                      <w:t>“Seasonal Work in the Woods”</w:t>
                    </w:r>
                    <w:r w:rsidRPr="0073629E">
                      <w:rPr>
                        <w:rFonts w:asciiTheme="majorHAnsi" w:hAnsiTheme="majorHAnsi"/>
                        <w:b/>
                        <w:sz w:val="22"/>
                        <w:szCs w:val="22"/>
                        <w:u w:val="single"/>
                      </w:rPr>
                      <w:t xml:space="preserve"> </w:t>
                    </w:r>
                    <w:r w:rsidRPr="0073629E">
                      <w:rPr>
                        <w:rFonts w:asciiTheme="majorHAnsi" w:hAnsiTheme="majorHAnsi"/>
                        <w:sz w:val="22"/>
                        <w:szCs w:val="22"/>
                      </w:rPr>
                      <w:t>“Forest Worker’s Tasks On the Job”;</w:t>
                    </w:r>
                    <w:r w:rsidRPr="0073629E">
                      <w:rPr>
                        <w:rFonts w:asciiTheme="majorHAnsi" w:hAnsiTheme="majorHAnsi"/>
                        <w:b/>
                        <w:sz w:val="22"/>
                        <w:szCs w:val="22"/>
                        <w:u w:val="single"/>
                      </w:rPr>
                      <w:t xml:space="preserve"> </w:t>
                    </w:r>
                    <w:r w:rsidRPr="0073629E">
                      <w:rPr>
                        <w:rFonts w:asciiTheme="majorHAnsi" w:hAnsiTheme="majorHAnsi"/>
                        <w:sz w:val="22"/>
                        <w:szCs w:val="22"/>
                      </w:rPr>
                      <w:t xml:space="preserve">“Dangers On the Job”, “Individual &amp; Team Work”, “Life in the Logging Camp”, “Life and Employment in the Off-Season” </w:t>
                    </w:r>
                  </w:p>
                  <w:p w:rsidR="00951414" w:rsidRPr="0073629E" w:rsidRDefault="00951414" w:rsidP="0073629E">
                    <w:pPr>
                      <w:pStyle w:val="normal0"/>
                      <w:numPr>
                        <w:ilvl w:val="0"/>
                        <w:numId w:val="16"/>
                      </w:numPr>
                      <w:spacing w:after="120"/>
                      <w:rPr>
                        <w:rFonts w:asciiTheme="majorHAnsi" w:hAnsiTheme="majorHAnsi"/>
                        <w:sz w:val="22"/>
                        <w:szCs w:val="22"/>
                      </w:rPr>
                    </w:pPr>
                    <w:r w:rsidRPr="0073629E">
                      <w:rPr>
                        <w:rFonts w:asciiTheme="majorHAnsi" w:hAnsiTheme="majorHAnsi"/>
                        <w:sz w:val="22"/>
                        <w:szCs w:val="22"/>
                      </w:rPr>
                      <w:t>Show the Vignette Working People: A History of Labour in British Columbia-</w:t>
                    </w:r>
                    <w:r>
                      <w:rPr>
                        <w:rFonts w:asciiTheme="majorHAnsi" w:hAnsiTheme="majorHAnsi"/>
                        <w:sz w:val="22"/>
                        <w:szCs w:val="22"/>
                      </w:rPr>
                      <w:t xml:space="preserve">“Wilmer </w:t>
                    </w:r>
                    <w:r w:rsidRPr="0073629E">
                      <w:rPr>
                        <w:rFonts w:asciiTheme="majorHAnsi" w:hAnsiTheme="majorHAnsi"/>
                        <w:sz w:val="22"/>
                        <w:szCs w:val="22"/>
                      </w:rPr>
                      <w:t xml:space="preserve">Gold”. </w:t>
                    </w:r>
                  </w:p>
                  <w:p w:rsidR="00951414" w:rsidRPr="0073629E" w:rsidRDefault="00951414" w:rsidP="0073629E">
                    <w:pPr>
                      <w:pStyle w:val="normal0"/>
                      <w:numPr>
                        <w:ilvl w:val="0"/>
                        <w:numId w:val="16"/>
                      </w:numPr>
                      <w:spacing w:before="40" w:after="80"/>
                      <w:contextualSpacing/>
                      <w:rPr>
                        <w:rFonts w:asciiTheme="majorHAnsi" w:hAnsiTheme="majorHAnsi"/>
                        <w:sz w:val="22"/>
                        <w:szCs w:val="22"/>
                        <w:u w:val="single"/>
                      </w:rPr>
                    </w:pPr>
                    <w:r w:rsidRPr="0073629E">
                      <w:rPr>
                        <w:rFonts w:asciiTheme="majorHAnsi" w:hAnsiTheme="majorHAnsi"/>
                        <w:sz w:val="22"/>
                        <w:szCs w:val="22"/>
                      </w:rPr>
                      <w:t>Distribute the Handout “Wilmer Gold: Biography” and read it to the class, or have them read it individually, or in groups.</w:t>
                    </w:r>
                    <w:r>
                      <w:rPr>
                        <w:rFonts w:asciiTheme="majorHAnsi" w:hAnsiTheme="majorHAnsi"/>
                        <w:sz w:val="22"/>
                        <w:szCs w:val="22"/>
                      </w:rPr>
                      <w:t xml:space="preserve"> Follow-up with Lesson Activity 2 “Discussion Questions”</w:t>
                    </w:r>
                  </w:p>
                  <w:p w:rsidR="00951414" w:rsidRPr="0073629E" w:rsidRDefault="00951414" w:rsidP="0073629E">
                    <w:pPr>
                      <w:pStyle w:val="LessonActivities"/>
                      <w:numPr>
                        <w:ilvl w:val="0"/>
                        <w:numId w:val="16"/>
                      </w:numPr>
                    </w:pPr>
                    <w:r>
                      <w:t xml:space="preserve">Distribute Extension Activity 1: Photographic Analysis and questions to consider and the companion set of 10 Historic photographs. </w:t>
                    </w: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>
          <v:shape id="Text Box 40" o:spid="_x0000_s1047" type="#_x0000_t202" style="position:absolute;margin-left:0;margin-top:542.5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951414" w:rsidRPr="00804935" w:rsidRDefault="00951414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>
                    <w:rPr>
                      <w:sz w:val="20"/>
                      <w:szCs w:val="20"/>
                    </w:rPr>
                    <w:t xml:space="preserve">Gavin </w:t>
                  </w:r>
                  <w:proofErr w:type="spellStart"/>
                  <w:r>
                    <w:rPr>
                      <w:sz w:val="20"/>
                      <w:szCs w:val="20"/>
                    </w:rPr>
                    <w:t>Hainsworth</w:t>
                  </w:r>
                  <w:proofErr w:type="spellEnd"/>
                </w:p>
              </w:txbxContent>
            </v:textbox>
            <w10:wrap type="square"/>
          </v:shape>
        </w:pict>
      </w:r>
    </w:p>
    <w:sectPr w:rsidR="0060204C" w:rsidSect="00E05386">
      <w:footerReference w:type="default" r:id="rId13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EF7" w:rsidRDefault="00D33EF7" w:rsidP="004527E2">
      <w:r>
        <w:separator/>
      </w:r>
    </w:p>
  </w:endnote>
  <w:endnote w:type="continuationSeparator" w:id="0">
    <w:p w:rsidR="00D33EF7" w:rsidRDefault="00D33EF7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14" w:rsidRDefault="00951414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67779E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67779E" w:rsidRPr="00241D69">
          <w:rPr>
            <w:rFonts w:asciiTheme="majorHAnsi" w:hAnsiTheme="majorHAnsi"/>
            <w:i/>
          </w:rPr>
          <w:fldChar w:fldCharType="separate"/>
        </w:r>
        <w:r w:rsidR="00113079">
          <w:rPr>
            <w:rFonts w:asciiTheme="majorHAnsi" w:hAnsiTheme="majorHAnsi"/>
            <w:i/>
            <w:noProof/>
          </w:rPr>
          <w:t>2</w:t>
        </w:r>
        <w:r w:rsidR="0067779E" w:rsidRPr="00241D69">
          <w:rPr>
            <w:rFonts w:asciiTheme="majorHAnsi" w:hAnsiTheme="majorHAnsi"/>
            <w:i/>
          </w:rPr>
          <w:fldChar w:fldCharType="end"/>
        </w:r>
      </w:sdtContent>
    </w:sdt>
  </w:p>
  <w:p w:rsidR="00951414" w:rsidRDefault="009514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EF7" w:rsidRDefault="00D33EF7" w:rsidP="004527E2">
      <w:r>
        <w:separator/>
      </w:r>
    </w:p>
  </w:footnote>
  <w:footnote w:type="continuationSeparator" w:id="0">
    <w:p w:rsidR="00D33EF7" w:rsidRDefault="00D33EF7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0F4B6292"/>
    <w:multiLevelType w:val="hybridMultilevel"/>
    <w:tmpl w:val="71100F3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8F538F"/>
    <w:multiLevelType w:val="multilevel"/>
    <w:tmpl w:val="AF2814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3075FC"/>
    <w:multiLevelType w:val="hybridMultilevel"/>
    <w:tmpl w:val="BC1E5FE8"/>
    <w:lvl w:ilvl="0" w:tplc="FA868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64162"/>
    <w:multiLevelType w:val="hybridMultilevel"/>
    <w:tmpl w:val="A5982E8A"/>
    <w:lvl w:ilvl="0" w:tplc="C728E30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8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2C44E37"/>
    <w:multiLevelType w:val="hybridMultilevel"/>
    <w:tmpl w:val="D3563F66"/>
    <w:lvl w:ilvl="0" w:tplc="10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>
    <w:nsid w:val="65F40C84"/>
    <w:multiLevelType w:val="hybridMultilevel"/>
    <w:tmpl w:val="3E86F942"/>
    <w:lvl w:ilvl="0" w:tplc="FBC426F8">
      <w:start w:val="1"/>
      <w:numFmt w:val="decimal"/>
      <w:lvlText w:val="%1."/>
      <w:lvlJc w:val="left"/>
      <w:pPr>
        <w:ind w:left="1080" w:hanging="360"/>
      </w:pPr>
      <w:rPr>
        <w:rFonts w:asciiTheme="majorHAnsi" w:eastAsia="MS Mincho" w:hAnsiTheme="majorHAnsi" w:cs="Times New Roman"/>
        <w:u w:val="none"/>
      </w:rPr>
    </w:lvl>
    <w:lvl w:ilvl="1" w:tplc="10090019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97474C"/>
    <w:multiLevelType w:val="hybridMultilevel"/>
    <w:tmpl w:val="D338974E"/>
    <w:lvl w:ilvl="0" w:tplc="1CECD5C8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2">
    <w:nsid w:val="7D18663C"/>
    <w:multiLevelType w:val="multilevel"/>
    <w:tmpl w:val="BFD0118A"/>
    <w:lvl w:ilvl="0">
      <w:start w:val="1"/>
      <w:numFmt w:val="decimal"/>
      <w:lvlText w:val="%1."/>
      <w:lvlJc w:val="left"/>
      <w:pPr>
        <w:ind w:left="810" w:firstLine="45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6"/>
    <w:lvlOverride w:ilvl="0">
      <w:startOverride w:val="2"/>
    </w:lvlOverride>
  </w:num>
  <w:num w:numId="5">
    <w:abstractNumId w:val="6"/>
    <w:lvlOverride w:ilvl="0">
      <w:startOverride w:val="1"/>
    </w:lvlOverride>
  </w:num>
  <w:num w:numId="6">
    <w:abstractNumId w:val="6"/>
    <w:lvlOverride w:ilvl="0">
      <w:startOverride w:val="3"/>
    </w:lvlOverride>
  </w:num>
  <w:num w:numId="7">
    <w:abstractNumId w:val="11"/>
  </w:num>
  <w:num w:numId="8">
    <w:abstractNumId w:val="0"/>
  </w:num>
  <w:num w:numId="9">
    <w:abstractNumId w:val="5"/>
  </w:num>
  <w:num w:numId="10">
    <w:abstractNumId w:val="9"/>
  </w:num>
  <w:num w:numId="11">
    <w:abstractNumId w:val="4"/>
  </w:num>
  <w:num w:numId="12">
    <w:abstractNumId w:val="7"/>
  </w:num>
  <w:num w:numId="13">
    <w:abstractNumId w:val="2"/>
  </w:num>
  <w:num w:numId="14">
    <w:abstractNumId w:val="12"/>
  </w:num>
  <w:num w:numId="15">
    <w:abstractNumId w:val="10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164"/>
    <w:rsid w:val="00005BE8"/>
    <w:rsid w:val="00015F9D"/>
    <w:rsid w:val="0006543A"/>
    <w:rsid w:val="000B32E8"/>
    <w:rsid w:val="000B6761"/>
    <w:rsid w:val="000C282B"/>
    <w:rsid w:val="000D719B"/>
    <w:rsid w:val="000F04BA"/>
    <w:rsid w:val="00113079"/>
    <w:rsid w:val="001A7FB5"/>
    <w:rsid w:val="001F4D64"/>
    <w:rsid w:val="002408CC"/>
    <w:rsid w:val="00267D63"/>
    <w:rsid w:val="00291AED"/>
    <w:rsid w:val="002D310E"/>
    <w:rsid w:val="00305CDB"/>
    <w:rsid w:val="00316EE7"/>
    <w:rsid w:val="003215A2"/>
    <w:rsid w:val="0034199A"/>
    <w:rsid w:val="00342940"/>
    <w:rsid w:val="00357F14"/>
    <w:rsid w:val="0037373F"/>
    <w:rsid w:val="003B69E5"/>
    <w:rsid w:val="003C69A5"/>
    <w:rsid w:val="003D3825"/>
    <w:rsid w:val="003E484B"/>
    <w:rsid w:val="004527E2"/>
    <w:rsid w:val="0046555F"/>
    <w:rsid w:val="00486B72"/>
    <w:rsid w:val="004A3854"/>
    <w:rsid w:val="004F55F5"/>
    <w:rsid w:val="0055755B"/>
    <w:rsid w:val="005601EE"/>
    <w:rsid w:val="00562C43"/>
    <w:rsid w:val="00573516"/>
    <w:rsid w:val="00594773"/>
    <w:rsid w:val="005E38D3"/>
    <w:rsid w:val="006011F0"/>
    <w:rsid w:val="0060204C"/>
    <w:rsid w:val="00612216"/>
    <w:rsid w:val="00615C48"/>
    <w:rsid w:val="0067779E"/>
    <w:rsid w:val="0069323E"/>
    <w:rsid w:val="006A1AA0"/>
    <w:rsid w:val="006B378F"/>
    <w:rsid w:val="006C403D"/>
    <w:rsid w:val="006D6705"/>
    <w:rsid w:val="006D72EC"/>
    <w:rsid w:val="00724712"/>
    <w:rsid w:val="00724E87"/>
    <w:rsid w:val="0073629E"/>
    <w:rsid w:val="007421BB"/>
    <w:rsid w:val="00747961"/>
    <w:rsid w:val="00764863"/>
    <w:rsid w:val="00776BED"/>
    <w:rsid w:val="00783D4A"/>
    <w:rsid w:val="00795C10"/>
    <w:rsid w:val="007B251C"/>
    <w:rsid w:val="007C72B5"/>
    <w:rsid w:val="007D370A"/>
    <w:rsid w:val="007E065E"/>
    <w:rsid w:val="007F4300"/>
    <w:rsid w:val="00804935"/>
    <w:rsid w:val="008301D9"/>
    <w:rsid w:val="008A5F2E"/>
    <w:rsid w:val="008B6773"/>
    <w:rsid w:val="008C11BF"/>
    <w:rsid w:val="00902533"/>
    <w:rsid w:val="00904FCF"/>
    <w:rsid w:val="00907B69"/>
    <w:rsid w:val="00951414"/>
    <w:rsid w:val="009E4064"/>
    <w:rsid w:val="00A035C9"/>
    <w:rsid w:val="00A25287"/>
    <w:rsid w:val="00A4493B"/>
    <w:rsid w:val="00A620A0"/>
    <w:rsid w:val="00A85F9B"/>
    <w:rsid w:val="00A942A5"/>
    <w:rsid w:val="00A97164"/>
    <w:rsid w:val="00AB7954"/>
    <w:rsid w:val="00AE4E91"/>
    <w:rsid w:val="00B51362"/>
    <w:rsid w:val="00B52C4A"/>
    <w:rsid w:val="00BE7EF6"/>
    <w:rsid w:val="00C45330"/>
    <w:rsid w:val="00C64BF6"/>
    <w:rsid w:val="00C65E1F"/>
    <w:rsid w:val="00C96F7E"/>
    <w:rsid w:val="00CA364E"/>
    <w:rsid w:val="00D0045F"/>
    <w:rsid w:val="00D33EF7"/>
    <w:rsid w:val="00D61344"/>
    <w:rsid w:val="00D67FC2"/>
    <w:rsid w:val="00D77C2B"/>
    <w:rsid w:val="00D92F35"/>
    <w:rsid w:val="00D93FCB"/>
    <w:rsid w:val="00DE6419"/>
    <w:rsid w:val="00E05386"/>
    <w:rsid w:val="00E20562"/>
    <w:rsid w:val="00E8412E"/>
    <w:rsid w:val="00EB0D1F"/>
    <w:rsid w:val="00EB753B"/>
    <w:rsid w:val="00ED07E9"/>
    <w:rsid w:val="00ED345F"/>
    <w:rsid w:val="00EE17B3"/>
    <w:rsid w:val="00EF2AC8"/>
    <w:rsid w:val="00F46C31"/>
    <w:rsid w:val="00F90ABA"/>
    <w:rsid w:val="00FA128E"/>
    <w:rsid w:val="00FC4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291AED"/>
    <w:pPr>
      <w:numPr>
        <w:numId w:val="7"/>
      </w:numPr>
      <w:spacing w:line="240" w:lineRule="atLeast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0">
    <w:name w:val="normal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38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38D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bcdb.bctf.ca/list?q=these+were+the+reasons&amp;p=1&amp;ps=2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teachbcdb.bctf.ca/list?p=1&amp;topic_facet=Labour+Histor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dnapisec.kaltura.com/index.php/extwidget/preview/partner_id/1454421/uiconf_id/26824312/entry_id/0_qkhod12v/embed/dynamic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dnapisec.kaltura.com/index.php/extwidget/preview/partner_id/1454421/uiconf_id/26824312/entry_id/0_jmftj80h/embed/dynami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dnapisec.kaltura.com/index.php/extwidget/preview/partner_id/1454421/uiconf_id/26824312/entry_id/0_s4pjdgox/embed/dynami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8</cp:revision>
  <cp:lastPrinted>2015-11-25T23:25:00Z</cp:lastPrinted>
  <dcterms:created xsi:type="dcterms:W3CDTF">2015-11-25T22:59:00Z</dcterms:created>
  <dcterms:modified xsi:type="dcterms:W3CDTF">2015-11-26T04:35:00Z</dcterms:modified>
</cp:coreProperties>
</file>